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hint="eastAsia" w:ascii="宋体" w:hAnsi="宋体" w:cs="宋体"/>
          <w:sz w:val="32"/>
          <w:szCs w:val="32"/>
        </w:rPr>
      </w:pPr>
      <w:r>
        <w:rPr>
          <w:rFonts w:hint="eastAsia" w:ascii="宋体" w:hAnsi="宋体" w:cs="宋体"/>
          <w:sz w:val="32"/>
          <w:szCs w:val="32"/>
        </w:rPr>
        <w:t>南京邮电大学通达学院入侵防御系统采购项目</w:t>
      </w: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ind w:firstLine="0"/>
        <w:jc w:val="center"/>
        <w:rPr>
          <w:rFonts w:hint="eastAsia" w:ascii="宋体" w:hAnsi="宋体" w:cs="宋体"/>
          <w:b/>
          <w:bCs/>
          <w:sz w:val="84"/>
        </w:rPr>
      </w:pPr>
    </w:p>
    <w:p>
      <w:pPr>
        <w:pStyle w:val="14"/>
        <w:ind w:firstLine="0"/>
        <w:jc w:val="center"/>
        <w:rPr>
          <w:rFonts w:hint="eastAsia" w:ascii="宋体" w:hAnsi="宋体" w:cs="宋体"/>
          <w:b/>
          <w:bCs/>
          <w:sz w:val="84"/>
        </w:rPr>
      </w:pPr>
      <w:r>
        <w:rPr>
          <w:rFonts w:hint="eastAsia" w:ascii="宋体" w:hAnsi="宋体" w:cs="宋体"/>
          <w:b/>
          <w:bCs/>
          <w:sz w:val="84"/>
        </w:rPr>
        <w:t>采 购 文 件</w:t>
      </w:r>
    </w:p>
    <w:p>
      <w:pPr>
        <w:pStyle w:val="14"/>
        <w:ind w:firstLine="0"/>
        <w:jc w:val="center"/>
        <w:rPr>
          <w:rFonts w:hint="eastAsia" w:ascii="宋体" w:hAnsi="宋体" w:cs="宋体"/>
          <w:b/>
          <w:bCs/>
          <w:sz w:val="32"/>
        </w:rPr>
      </w:pPr>
    </w:p>
    <w:p>
      <w:pPr>
        <w:pStyle w:val="14"/>
        <w:ind w:firstLine="0"/>
        <w:jc w:val="center"/>
        <w:rPr>
          <w:rFonts w:hint="eastAsia" w:ascii="宋体" w:hAnsi="宋体" w:cs="宋体"/>
          <w:b/>
          <w:sz w:val="36"/>
          <w:szCs w:val="36"/>
        </w:rPr>
      </w:pPr>
    </w:p>
    <w:p>
      <w:pPr>
        <w:adjustRightInd w:val="0"/>
        <w:snapToGrid w:val="0"/>
        <w:spacing w:line="300" w:lineRule="auto"/>
        <w:jc w:val="center"/>
        <w:rPr>
          <w:rFonts w:hint="default" w:ascii="宋体" w:hAnsi="宋体" w:eastAsia="宋体" w:cs="宋体"/>
          <w:b/>
          <w:sz w:val="36"/>
          <w:szCs w:val="36"/>
          <w:lang w:val="en-US" w:eastAsia="zh-CN"/>
        </w:rPr>
      </w:pPr>
      <w:r>
        <w:rPr>
          <w:rFonts w:hint="eastAsia" w:ascii="宋体" w:hAnsi="宋体" w:cs="宋体"/>
          <w:b/>
          <w:sz w:val="36"/>
          <w:szCs w:val="36"/>
        </w:rPr>
        <w:t>项目编号：TDHQ20</w:t>
      </w:r>
      <w:r>
        <w:rPr>
          <w:rFonts w:hint="eastAsia" w:ascii="宋体" w:hAnsi="宋体" w:cs="宋体"/>
          <w:b/>
          <w:sz w:val="36"/>
          <w:szCs w:val="36"/>
          <w:lang w:val="en-US" w:eastAsia="zh-CN"/>
        </w:rPr>
        <w:t>20015</w:t>
      </w:r>
    </w:p>
    <w:p>
      <w:pPr>
        <w:pStyle w:val="14"/>
        <w:ind w:firstLine="0"/>
        <w:jc w:val="center"/>
        <w:rPr>
          <w:rFonts w:hint="eastAsia" w:ascii="宋体" w:hAnsi="宋体" w:cs="宋体"/>
          <w:b/>
          <w:sz w:val="36"/>
          <w:szCs w:val="36"/>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南京邮电大学通达学院</w:t>
      </w: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20</w:t>
      </w:r>
      <w:r>
        <w:rPr>
          <w:rFonts w:hint="eastAsia" w:ascii="宋体" w:hAnsi="宋体" w:cs="宋体"/>
          <w:b/>
          <w:sz w:val="30"/>
          <w:szCs w:val="30"/>
          <w:lang w:val="en-US" w:eastAsia="zh-CN"/>
        </w:rPr>
        <w:t>20</w:t>
      </w:r>
      <w:r>
        <w:rPr>
          <w:rFonts w:hint="eastAsia" w:ascii="宋体" w:hAnsi="宋体" w:cs="宋体"/>
          <w:b/>
          <w:sz w:val="30"/>
          <w:szCs w:val="30"/>
        </w:rPr>
        <w:t>年</w:t>
      </w:r>
      <w:r>
        <w:rPr>
          <w:rFonts w:hint="eastAsia" w:ascii="宋体" w:hAnsi="宋体" w:cs="宋体"/>
          <w:b/>
          <w:sz w:val="30"/>
          <w:szCs w:val="30"/>
          <w:lang w:val="en-US" w:eastAsia="zh-CN"/>
        </w:rPr>
        <w:t>9</w:t>
      </w:r>
      <w:r>
        <w:rPr>
          <w:rFonts w:hint="eastAsia" w:ascii="宋体" w:hAnsi="宋体" w:cs="宋体"/>
          <w:b/>
          <w:sz w:val="30"/>
          <w:szCs w:val="30"/>
        </w:rPr>
        <w:t>月</w:t>
      </w:r>
    </w:p>
    <w:p>
      <w:pPr>
        <w:pStyle w:val="14"/>
        <w:ind w:firstLine="0"/>
        <w:jc w:val="center"/>
        <w:rPr>
          <w:rFonts w:hint="eastAsia" w:ascii="宋体" w:hAnsi="宋体" w:cs="宋体"/>
          <w:b/>
          <w:bCs/>
          <w:sz w:val="32"/>
        </w:rPr>
      </w:pPr>
    </w:p>
    <w:p>
      <w:pPr>
        <w:spacing w:line="480" w:lineRule="auto"/>
        <w:jc w:val="center"/>
        <w:outlineLvl w:val="0"/>
        <w:rPr>
          <w:rFonts w:hint="eastAsia" w:ascii="宋体" w:hAnsi="宋体" w:cs="宋体"/>
          <w:b/>
          <w:sz w:val="44"/>
        </w:rPr>
      </w:pPr>
      <w:r>
        <w:rPr>
          <w:rFonts w:hint="eastAsia" w:ascii="宋体" w:hAnsi="宋体" w:cs="宋体"/>
        </w:rPr>
        <w:br w:type="page"/>
      </w:r>
      <w:bookmarkStart w:id="0" w:name="_Toc120614210"/>
      <w:bookmarkStart w:id="1" w:name="_Toc16938516"/>
      <w:bookmarkStart w:id="2" w:name="_Toc20823272"/>
      <w:bookmarkStart w:id="3" w:name="_Toc479757206"/>
      <w:bookmarkStart w:id="4" w:name="_Toc523127445"/>
      <w:bookmarkStart w:id="5" w:name="_Toc513029200"/>
      <w:r>
        <w:rPr>
          <w:rFonts w:hint="eastAsia" w:ascii="宋体" w:hAnsi="宋体" w:cs="宋体"/>
          <w:b/>
          <w:sz w:val="44"/>
        </w:rPr>
        <w:t>目  录</w:t>
      </w:r>
    </w:p>
    <w:p>
      <w:pPr>
        <w:spacing w:line="480" w:lineRule="auto"/>
        <w:rPr>
          <w:rFonts w:hint="eastAsia" w:ascii="宋体" w:hAnsi="宋体" w:cs="宋体"/>
          <w:b/>
          <w:sz w:val="28"/>
        </w:rPr>
      </w:pPr>
    </w:p>
    <w:p>
      <w:pPr>
        <w:numPr>
          <w:ilvl w:val="0"/>
          <w:numId w:val="1"/>
        </w:numPr>
        <w:spacing w:line="480" w:lineRule="auto"/>
        <w:outlineLvl w:val="0"/>
        <w:rPr>
          <w:rFonts w:hint="eastAsia" w:ascii="宋体" w:hAnsi="宋体" w:cs="宋体"/>
          <w:sz w:val="32"/>
        </w:rPr>
      </w:pPr>
      <w:r>
        <w:rPr>
          <w:rFonts w:hint="eastAsia" w:ascii="宋体" w:hAnsi="宋体" w:cs="宋体"/>
          <w:sz w:val="36"/>
        </w:rPr>
        <w:t>采购公告……………………………………2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hint="eastAsia"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hint="eastAsia" w:ascii="宋体" w:hAnsi="宋体" w:cs="宋体"/>
          <w:sz w:val="36"/>
        </w:rPr>
      </w:pPr>
      <w:r>
        <w:rPr>
          <w:rFonts w:hint="eastAsia" w:ascii="宋体" w:hAnsi="宋体" w:cs="宋体"/>
          <w:sz w:val="36"/>
        </w:rPr>
        <w:t>项目需求……………………………………12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评标方法与评标标准</w:t>
      </w:r>
      <w:r>
        <w:rPr>
          <w:rFonts w:hint="eastAsia" w:ascii="宋体" w:hAnsi="宋体" w:cs="宋体"/>
          <w:sz w:val="36"/>
        </w:rPr>
        <w:t>………………………17</w:t>
      </w:r>
    </w:p>
    <w:p>
      <w:pPr>
        <w:numPr>
          <w:ilvl w:val="0"/>
          <w:numId w:val="1"/>
        </w:numPr>
        <w:spacing w:line="480" w:lineRule="auto"/>
        <w:outlineLvl w:val="0"/>
        <w:rPr>
          <w:rFonts w:hint="eastAsia" w:ascii="宋体" w:hAnsi="宋体" w:cs="宋体"/>
          <w:sz w:val="36"/>
        </w:rPr>
      </w:pPr>
      <w:r>
        <w:rPr>
          <w:rFonts w:hint="eastAsia" w:ascii="宋体" w:hAnsi="宋体" w:cs="宋体"/>
          <w:sz w:val="36"/>
        </w:rPr>
        <w:t>投标文件格式………………………………18</w:t>
      </w:r>
    </w:p>
    <w:p>
      <w:pPr>
        <w:pStyle w:val="4"/>
        <w:adjustRightInd w:val="0"/>
        <w:snapToGrid w:val="0"/>
        <w:spacing w:before="0" w:after="0" w:line="240" w:lineRule="auto"/>
        <w:rPr>
          <w:rFonts w:hint="eastAsia" w:ascii="宋体" w:hAnsi="宋体" w:eastAsia="宋体" w:cs="宋体"/>
        </w:rPr>
        <w:sectPr>
          <w:headerReference r:id="rId3" w:type="default"/>
          <w:footerReference r:id="rId4" w:type="default"/>
          <w:pgSz w:w="11907" w:h="16840"/>
          <w:pgMar w:top="1440" w:right="1080" w:bottom="1440" w:left="1080" w:header="851" w:footer="992" w:gutter="0"/>
          <w:pgNumType w:fmt="decimal" w:start="1"/>
          <w:cols w:space="720" w:num="1"/>
          <w:docGrid w:linePitch="312" w:charSpace="0"/>
        </w:sectPr>
      </w:pPr>
    </w:p>
    <w:p>
      <w:pPr>
        <w:pStyle w:val="4"/>
        <w:adjustRightInd w:val="0"/>
        <w:snapToGrid w:val="0"/>
        <w:spacing w:before="0" w:after="0" w:line="240" w:lineRule="auto"/>
        <w:rPr>
          <w:rFonts w:hint="eastAsia" w:ascii="宋体" w:hAnsi="宋体" w:eastAsia="宋体" w:cs="宋体"/>
        </w:rPr>
      </w:pPr>
      <w:r>
        <w:rPr>
          <w:rFonts w:hint="eastAsia" w:ascii="宋体" w:hAnsi="宋体" w:eastAsia="宋体" w:cs="宋体"/>
        </w:rPr>
        <w:t xml:space="preserve">第一章  </w:t>
      </w:r>
      <w:bookmarkEnd w:id="0"/>
      <w:r>
        <w:rPr>
          <w:rFonts w:hint="eastAsia" w:ascii="宋体" w:hAnsi="宋体" w:eastAsia="宋体" w:cs="宋体"/>
        </w:rPr>
        <w:t>采购公告</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根据国家招投标的法律法规和南京邮电大学的相关规定，现对南京邮电大学通达学院入侵防御系统采购项目进行公开</w:t>
      </w:r>
      <w:r>
        <w:rPr>
          <w:rFonts w:hint="eastAsia"/>
          <w:sz w:val="21"/>
          <w:szCs w:val="21"/>
          <w:lang w:eastAsia="zh-CN"/>
        </w:rPr>
        <w:t>采购</w:t>
      </w:r>
      <w:r>
        <w:rPr>
          <w:rFonts w:hint="eastAsia"/>
          <w:sz w:val="21"/>
          <w:szCs w:val="21"/>
        </w:rPr>
        <w:t>采购，欢迎符合本次</w:t>
      </w:r>
      <w:r>
        <w:rPr>
          <w:rFonts w:hint="eastAsia"/>
          <w:sz w:val="21"/>
          <w:szCs w:val="21"/>
          <w:lang w:eastAsia="zh-CN"/>
        </w:rPr>
        <w:t>采购</w:t>
      </w:r>
      <w:r>
        <w:rPr>
          <w:rFonts w:hint="eastAsia"/>
          <w:sz w:val="21"/>
          <w:szCs w:val="21"/>
        </w:rPr>
        <w:t>采购要求的企业参加投标。</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采购项目名称及编号：南京邮电大学通达学院入侵防御系统采购项目。（项目编号TDHQ20</w:t>
      </w:r>
      <w:r>
        <w:rPr>
          <w:rFonts w:hint="eastAsia"/>
          <w:sz w:val="21"/>
          <w:szCs w:val="21"/>
          <w:lang w:val="en-US" w:eastAsia="zh-CN"/>
        </w:rPr>
        <w:t>20015</w:t>
      </w:r>
      <w:r>
        <w:rPr>
          <w:rFonts w:hint="eastAsia"/>
          <w:sz w:val="21"/>
          <w:szCs w:val="21"/>
        </w:rPr>
        <w:t>）</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采购项目简要说明：1.南京邮电大学通达学院</w:t>
      </w:r>
      <w:bookmarkStart w:id="6" w:name="OLE_LINK1"/>
      <w:r>
        <w:rPr>
          <w:rFonts w:hint="eastAsia"/>
          <w:sz w:val="21"/>
          <w:szCs w:val="21"/>
        </w:rPr>
        <w:t>拟采购</w:t>
      </w:r>
      <w:bookmarkEnd w:id="6"/>
      <w:r>
        <w:rPr>
          <w:rFonts w:hint="eastAsia"/>
          <w:sz w:val="21"/>
          <w:szCs w:val="21"/>
          <w:lang w:eastAsia="zh-CN"/>
        </w:rPr>
        <w:t>入侵防御</w:t>
      </w:r>
      <w:r>
        <w:rPr>
          <w:rFonts w:hint="eastAsia"/>
          <w:sz w:val="21"/>
          <w:szCs w:val="21"/>
        </w:rPr>
        <w:t>系统1套（具体采购数量及要求参见甲方采购文件）。2.项目地点：扬州市润扬南路33号。3.技术条款咨询联系人：黄老师 ，联系电话：0514-89716020。（注：如不咨询，视为已理解该技术指标。）</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 xml:space="preserve"> 投标人资质要求:</w:t>
      </w:r>
    </w:p>
    <w:p>
      <w:pPr>
        <w:pStyle w:val="10"/>
        <w:shd w:val="clear" w:color="auto" w:fill="FFFFFF"/>
        <w:spacing w:before="0" w:beforeAutospacing="0" w:after="0" w:afterAutospacing="0" w:line="480" w:lineRule="exact"/>
        <w:rPr>
          <w:rFonts w:hint="eastAsia"/>
          <w:sz w:val="21"/>
          <w:szCs w:val="21"/>
        </w:rPr>
      </w:pPr>
      <w:r>
        <w:rPr>
          <w:rFonts w:hint="eastAsia"/>
          <w:sz w:val="21"/>
          <w:szCs w:val="21"/>
        </w:rPr>
        <w:t xml:space="preserve">    1、投标人必须是经国家有关部门批准，具有合法经营资质、符合《中华人民共和国政府采购法》第二十二条规定的独立法人；</w:t>
      </w:r>
    </w:p>
    <w:p>
      <w:pPr>
        <w:pStyle w:val="10"/>
        <w:shd w:val="clear" w:color="auto" w:fill="FFFFFF"/>
        <w:spacing w:before="0" w:beforeAutospacing="0" w:after="0" w:afterAutospacing="0" w:line="480" w:lineRule="exact"/>
        <w:rPr>
          <w:rFonts w:hint="eastAsia"/>
          <w:sz w:val="21"/>
          <w:szCs w:val="21"/>
        </w:rPr>
      </w:pPr>
      <w:r>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pPr>
        <w:pStyle w:val="10"/>
        <w:shd w:val="clear" w:color="auto" w:fill="FFFFFF"/>
        <w:spacing w:before="0" w:beforeAutospacing="0" w:after="0" w:afterAutospacing="0" w:line="480" w:lineRule="exact"/>
        <w:rPr>
          <w:rFonts w:hint="eastAsia"/>
          <w:sz w:val="21"/>
          <w:szCs w:val="21"/>
        </w:rPr>
      </w:pPr>
      <w:r>
        <w:rPr>
          <w:rFonts w:hint="eastAsia"/>
          <w:sz w:val="21"/>
          <w:szCs w:val="21"/>
        </w:rPr>
        <w:t xml:space="preserve">    3、投标人具有项目必须的技术条件或经营能力，具备法律法规规定的其它条件和良好的社会信誉，在经营活动中没有违法违规记录，近三年内没有被司法部门或行业主管部门处罚，提供书面声明；</w:t>
      </w:r>
    </w:p>
    <w:p>
      <w:pPr>
        <w:pStyle w:val="10"/>
        <w:shd w:val="clear" w:color="auto" w:fill="FFFFFF"/>
        <w:spacing w:before="0" w:beforeAutospacing="0" w:after="0" w:afterAutospacing="0" w:line="480" w:lineRule="exact"/>
        <w:ind w:firstLine="420"/>
        <w:rPr>
          <w:rFonts w:hint="eastAsia"/>
          <w:sz w:val="21"/>
          <w:szCs w:val="21"/>
        </w:rPr>
      </w:pPr>
      <w:r>
        <w:rPr>
          <w:rFonts w:hint="eastAsia"/>
          <w:sz w:val="21"/>
          <w:szCs w:val="21"/>
        </w:rPr>
        <w:t>4、投标人未被“信用中国”（www.creditchina.gov.cn）或“诚信江苏”（www.jscredit.gov.cn）或中国政府采购网（www.ccgp.gov.cn）列入失信被执行人、重大税收违法案件当事人名单、政府采购严重失信行为记录名单，提供网页截图；</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.1 产品资质</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.1.1 产品必须具备公安部颁发的《计算机信息系统安全专用产品销售许可证》，级别须达到三级；</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.1.2 产品为近三年国内市场占有率前三名，提供权威第三方调查机构（IDC）的证明；</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.1.3 产品必须具备中国信息安全测评中心颁发的《国家信息安全测评信息技术产品安全测评证书》, 级别须达到EAL3+；</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.1.4 产品必须具备中国信息安全认证中心颁发的符合GB/T 28451-2012 《信息安全技术网络型入侵防御产品技术要求》第三级认证《中国国家信息安全产品认证证书》；</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.1.5 产品必须具备中国信息安全测评中心颁发的《国家信息安全漏洞库兼容性资质证书》；</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.1.6 产品应通过国际权威机构NSS Labs的IPS专项测试，获得Approved认证，并被认定为“Recommended”级别产品。</w:t>
      </w:r>
    </w:p>
    <w:p>
      <w:pPr>
        <w:pStyle w:val="10"/>
        <w:shd w:val="clear" w:color="auto" w:fill="FFFFFF"/>
        <w:spacing w:before="0" w:beforeAutospacing="0" w:after="0" w:afterAutospacing="0" w:line="480" w:lineRule="exact"/>
        <w:rPr>
          <w:rFonts w:hint="eastAsia"/>
          <w:sz w:val="21"/>
          <w:szCs w:val="21"/>
        </w:rPr>
      </w:pPr>
      <w:r>
        <w:rPr>
          <w:rFonts w:hint="eastAsia"/>
          <w:sz w:val="21"/>
          <w:szCs w:val="21"/>
        </w:rPr>
        <w:t xml:space="preserve"> 产品厂家资质(提供截图并加盖原厂公章)</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.2.1厂家具备国家计算机网络应急技术处理协调中心颁发的《网络安全应急服务支撑单位证书（国家级）》；</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.2.2 厂家具备符合GB/T 28001-2011标准的《职业健康安全管理体系认证证书》；</w:t>
      </w:r>
    </w:p>
    <w:p>
      <w:pPr>
        <w:pStyle w:val="10"/>
        <w:shd w:val="clear" w:color="auto" w:fill="FFFFFF"/>
        <w:spacing w:before="0" w:beforeAutospacing="0" w:after="0" w:afterAutospacing="0" w:line="480" w:lineRule="exact"/>
        <w:ind w:firstLine="420" w:firstLineChars="200"/>
        <w:rPr>
          <w:rFonts w:hint="eastAsia"/>
          <w:sz w:val="21"/>
          <w:szCs w:val="21"/>
        </w:rPr>
      </w:pPr>
      <w:r>
        <w:rPr>
          <w:rFonts w:hint="eastAsia"/>
          <w:sz w:val="21"/>
          <w:szCs w:val="21"/>
          <w:lang w:val="en-US" w:eastAsia="zh-CN"/>
        </w:rPr>
        <w:t>5</w:t>
      </w:r>
      <w:r>
        <w:rPr>
          <w:rFonts w:hint="eastAsia"/>
          <w:sz w:val="21"/>
          <w:szCs w:val="21"/>
        </w:rPr>
        <w:t>.2.3 厂家具备足够的信息安全服务技术实力及安全服务保障能力，获得中国网络安全审查技术与认证中心颁发的信息系统安全运维一级服务资质证书。</w:t>
      </w:r>
    </w:p>
    <w:p>
      <w:pPr>
        <w:pStyle w:val="10"/>
        <w:shd w:val="clear" w:color="auto" w:fill="FFFFFF"/>
        <w:spacing w:before="0" w:beforeAutospacing="0" w:after="0" w:afterAutospacing="0" w:line="480" w:lineRule="exact"/>
        <w:ind w:firstLine="420"/>
        <w:rPr>
          <w:rFonts w:hint="eastAsia"/>
          <w:sz w:val="21"/>
          <w:szCs w:val="21"/>
        </w:rPr>
      </w:pPr>
      <w:r>
        <w:rPr>
          <w:rFonts w:hint="eastAsia"/>
          <w:sz w:val="21"/>
          <w:szCs w:val="21"/>
          <w:lang w:val="en-US" w:eastAsia="zh-CN"/>
        </w:rPr>
        <w:t>6、</w:t>
      </w:r>
      <w:r>
        <w:rPr>
          <w:rFonts w:hint="eastAsia"/>
          <w:sz w:val="21"/>
          <w:szCs w:val="21"/>
        </w:rPr>
        <w:t>本项目不接受联合体投标。</w:t>
      </w:r>
    </w:p>
    <w:p>
      <w:pPr>
        <w:pStyle w:val="10"/>
        <w:shd w:val="clear" w:color="auto" w:fill="FFFFFF"/>
        <w:spacing w:before="0" w:beforeAutospacing="0" w:after="0" w:afterAutospacing="0" w:line="480" w:lineRule="exact"/>
        <w:ind w:firstLine="480"/>
        <w:rPr>
          <w:rFonts w:hint="eastAsia"/>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w:t>
      </w:r>
      <w:r>
        <w:rPr>
          <w:rFonts w:hint="eastAsia"/>
          <w:sz w:val="21"/>
          <w:szCs w:val="21"/>
          <w:lang w:eastAsia="zh-CN"/>
        </w:rPr>
        <w:t>及</w:t>
      </w:r>
      <w:r>
        <w:rPr>
          <w:rFonts w:hint="eastAsia"/>
          <w:sz w:val="21"/>
          <w:szCs w:val="21"/>
        </w:rPr>
        <w:t>“南京邮电大学通达学院”网页上发布之日起至投标截止时间止。供应商如确定参加投标，请于投标文件递交时间到指定地点登记报名、递交投标文件。</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五、投标文件接收信息:投标文件接收截止时间：20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1</w:t>
      </w:r>
      <w:r>
        <w:rPr>
          <w:rFonts w:hint="eastAsia"/>
          <w:sz w:val="21"/>
          <w:szCs w:val="21"/>
        </w:rPr>
        <w:t>0日 上午 11:00。地点：南京邮电大学通达学院行政中心9楼91</w:t>
      </w:r>
      <w:r>
        <w:rPr>
          <w:rFonts w:hint="eastAsia"/>
          <w:sz w:val="21"/>
          <w:szCs w:val="21"/>
          <w:lang w:val="en-US" w:eastAsia="zh-CN"/>
        </w:rPr>
        <w:t>1</w:t>
      </w:r>
      <w:r>
        <w:rPr>
          <w:rFonts w:hint="eastAsia"/>
          <w:sz w:val="21"/>
          <w:szCs w:val="21"/>
        </w:rPr>
        <w:t>办公室。 联系人：</w:t>
      </w:r>
      <w:r>
        <w:rPr>
          <w:rFonts w:hint="eastAsia"/>
          <w:sz w:val="21"/>
          <w:szCs w:val="21"/>
          <w:lang w:eastAsia="zh-CN"/>
        </w:rPr>
        <w:t>李</w:t>
      </w:r>
      <w:r>
        <w:rPr>
          <w:rFonts w:hint="eastAsia"/>
          <w:sz w:val="21"/>
          <w:szCs w:val="21"/>
        </w:rPr>
        <w:t>老师， 联系电话：0514-89716083。 采购单位不接受邮寄、快递等投标，投标文件在投标截止时间后，一律不予退回。</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六、开标有关信息 :  具体开标时间、地点，递交标书时另行通知。</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七、缴纳费用：投标单位须在投标时缴纳100元标书费，1000元项目投标保证金。</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八、本次</w:t>
      </w:r>
      <w:r>
        <w:rPr>
          <w:rFonts w:hint="eastAsia"/>
          <w:sz w:val="21"/>
          <w:szCs w:val="21"/>
          <w:lang w:eastAsia="zh-CN"/>
        </w:rPr>
        <w:t>采购</w:t>
      </w:r>
      <w:r>
        <w:rPr>
          <w:rFonts w:hint="eastAsia"/>
          <w:sz w:val="21"/>
          <w:szCs w:val="21"/>
        </w:rPr>
        <w:t>联系事项: 联系人：</w:t>
      </w:r>
      <w:r>
        <w:rPr>
          <w:rFonts w:hint="eastAsia"/>
          <w:sz w:val="21"/>
          <w:szCs w:val="21"/>
          <w:lang w:eastAsia="zh-CN"/>
        </w:rPr>
        <w:t>李</w:t>
      </w:r>
      <w:r>
        <w:rPr>
          <w:rFonts w:hint="eastAsia"/>
          <w:sz w:val="21"/>
          <w:szCs w:val="21"/>
        </w:rPr>
        <w:t>老师， 联系电话：0514-8971608</w:t>
      </w:r>
      <w:r>
        <w:rPr>
          <w:rFonts w:hint="eastAsia"/>
          <w:sz w:val="21"/>
          <w:szCs w:val="21"/>
          <w:lang w:val="en-US" w:eastAsia="zh-CN"/>
        </w:rPr>
        <w:t>3</w:t>
      </w:r>
      <w:r>
        <w:rPr>
          <w:rFonts w:hint="eastAsia"/>
          <w:sz w:val="21"/>
          <w:szCs w:val="21"/>
        </w:rPr>
        <w:t xml:space="preserve">。   </w:t>
      </w:r>
    </w:p>
    <w:p>
      <w:pPr>
        <w:pStyle w:val="10"/>
        <w:shd w:val="clear" w:color="auto" w:fill="FFFFFF"/>
        <w:spacing w:before="0" w:beforeAutospacing="0" w:after="0" w:afterAutospacing="0" w:line="480" w:lineRule="exact"/>
        <w:ind w:firstLine="480"/>
        <w:jc w:val="right"/>
        <w:rPr>
          <w:rFonts w:hint="eastAsia"/>
          <w:sz w:val="21"/>
          <w:szCs w:val="21"/>
        </w:rPr>
      </w:pPr>
      <w:r>
        <w:rPr>
          <w:rFonts w:hint="eastAsia"/>
          <w:sz w:val="21"/>
          <w:szCs w:val="21"/>
        </w:rPr>
        <w:t>南京邮电大学通达学院</w:t>
      </w:r>
      <w:r>
        <w:rPr>
          <w:rFonts w:hint="eastAsia"/>
          <w:sz w:val="21"/>
          <w:szCs w:val="21"/>
          <w:lang w:eastAsia="zh-CN"/>
        </w:rPr>
        <w:t>采购工作小组</w:t>
      </w:r>
      <w:r>
        <w:rPr>
          <w:rFonts w:hint="eastAsia"/>
          <w:sz w:val="21"/>
          <w:szCs w:val="21"/>
        </w:rPr>
        <w:t xml:space="preserve">　　                                                  </w:t>
      </w:r>
    </w:p>
    <w:p>
      <w:pPr>
        <w:pStyle w:val="10"/>
        <w:shd w:val="clear" w:color="auto" w:fill="FFFFFF"/>
        <w:spacing w:before="0" w:beforeAutospacing="0" w:after="0" w:afterAutospacing="0" w:line="480" w:lineRule="exact"/>
        <w:jc w:val="right"/>
        <w:rPr>
          <w:rFonts w:hint="eastAsia"/>
          <w:sz w:val="21"/>
          <w:szCs w:val="21"/>
        </w:rPr>
      </w:pPr>
      <w:r>
        <w:rPr>
          <w:rFonts w:hint="eastAsia"/>
          <w:sz w:val="21"/>
          <w:szCs w:val="21"/>
        </w:rPr>
        <w:t xml:space="preserve">                                                                二〇二〇年</w:t>
      </w:r>
      <w:r>
        <w:rPr>
          <w:rFonts w:hint="eastAsia"/>
          <w:sz w:val="21"/>
          <w:szCs w:val="21"/>
          <w:lang w:eastAsia="zh-CN"/>
        </w:rPr>
        <w:t>九</w:t>
      </w:r>
      <w:r>
        <w:rPr>
          <w:rFonts w:hint="eastAsia"/>
          <w:sz w:val="21"/>
          <w:szCs w:val="21"/>
        </w:rPr>
        <w:t>月</w:t>
      </w:r>
      <w:r>
        <w:rPr>
          <w:rFonts w:hint="eastAsia"/>
          <w:sz w:val="21"/>
          <w:szCs w:val="21"/>
          <w:lang w:eastAsia="zh-CN"/>
        </w:rPr>
        <w:t>四</w:t>
      </w:r>
      <w:r>
        <w:rPr>
          <w:rFonts w:hint="eastAsia"/>
          <w:sz w:val="21"/>
          <w:szCs w:val="21"/>
        </w:rPr>
        <w:t>日</w:t>
      </w:r>
    </w:p>
    <w:p>
      <w:pPr>
        <w:wordWrap w:val="0"/>
        <w:adjustRightInd w:val="0"/>
        <w:snapToGrid w:val="0"/>
        <w:spacing w:line="330" w:lineRule="exact"/>
        <w:ind w:firstLine="480" w:firstLineChars="200"/>
        <w:jc w:val="right"/>
        <w:rPr>
          <w:rFonts w:hint="eastAsia" w:ascii="宋体" w:hAnsi="宋体" w:cs="宋体"/>
          <w:sz w:val="24"/>
          <w:szCs w:val="24"/>
        </w:rPr>
      </w:pPr>
    </w:p>
    <w:p>
      <w:pPr>
        <w:pStyle w:val="4"/>
        <w:spacing w:line="300" w:lineRule="exact"/>
        <w:rPr>
          <w:rFonts w:hint="eastAsia" w:ascii="宋体" w:hAnsi="宋体" w:eastAsia="宋体" w:cs="宋体"/>
        </w:rPr>
      </w:pPr>
      <w:r>
        <w:rPr>
          <w:rFonts w:hint="eastAsia" w:ascii="宋体" w:hAnsi="宋体" w:eastAsia="宋体" w:cs="宋体"/>
          <w:sz w:val="24"/>
          <w:szCs w:val="24"/>
        </w:rPr>
        <w:br w:type="page"/>
      </w:r>
      <w:bookmarkStart w:id="7" w:name="_Toc120614211"/>
      <w:r>
        <w:rPr>
          <w:rFonts w:hint="eastAsia" w:ascii="宋体" w:hAnsi="宋体" w:eastAsia="宋体" w:cs="宋体"/>
        </w:rPr>
        <w:t xml:space="preserve">第二章  </w:t>
      </w:r>
      <w:bookmarkEnd w:id="1"/>
      <w:bookmarkEnd w:id="2"/>
      <w:bookmarkEnd w:id="3"/>
      <w:bookmarkEnd w:id="4"/>
      <w:bookmarkEnd w:id="5"/>
      <w:bookmarkEnd w:id="7"/>
      <w:bookmarkStart w:id="8" w:name="_Toc16938518"/>
      <w:bookmarkStart w:id="9" w:name="_Toc513029202"/>
      <w:bookmarkStart w:id="10" w:name="_Toc20823274"/>
      <w:bookmarkStart w:id="11" w:name="_Toc120614213"/>
      <w:r>
        <w:rPr>
          <w:rFonts w:hint="eastAsia" w:ascii="宋体" w:hAnsi="宋体" w:eastAsia="宋体" w:cs="宋体"/>
        </w:rPr>
        <w:t>投标人须知</w:t>
      </w:r>
      <w:bookmarkEnd w:id="8"/>
      <w:bookmarkEnd w:id="9"/>
      <w:bookmarkEnd w:id="10"/>
      <w:bookmarkEnd w:id="11"/>
    </w:p>
    <w:p>
      <w:pPr>
        <w:spacing w:line="360" w:lineRule="exact"/>
        <w:ind w:firstLine="482" w:firstLineChars="200"/>
        <w:rPr>
          <w:rFonts w:hint="eastAsia" w:ascii="宋体" w:hAnsi="宋体" w:cs="宋体"/>
          <w:b/>
          <w:sz w:val="24"/>
          <w:szCs w:val="24"/>
        </w:rPr>
      </w:pPr>
      <w:bookmarkStart w:id="12" w:name="_Toc20823275"/>
      <w:bookmarkStart w:id="13" w:name="_Toc120614214"/>
      <w:bookmarkStart w:id="14" w:name="_Toc16938519"/>
      <w:bookmarkStart w:id="15" w:name="_Toc513029203"/>
      <w:r>
        <w:rPr>
          <w:rFonts w:hint="eastAsia" w:ascii="宋体" w:hAnsi="宋体" w:cs="宋体"/>
          <w:b/>
          <w:sz w:val="24"/>
          <w:szCs w:val="24"/>
        </w:rPr>
        <w:t>一、总则</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1.1本次采购采用公开</w:t>
      </w:r>
      <w:r>
        <w:rPr>
          <w:rFonts w:hint="eastAsia" w:ascii="宋体" w:hAnsi="宋体" w:cs="宋体"/>
          <w:sz w:val="24"/>
          <w:szCs w:val="24"/>
          <w:lang w:eastAsia="zh-CN"/>
        </w:rPr>
        <w:t>采购</w:t>
      </w:r>
      <w:r>
        <w:rPr>
          <w:rFonts w:hint="eastAsia" w:ascii="宋体" w:hAnsi="宋体" w:cs="宋体"/>
          <w:sz w:val="24"/>
          <w:szCs w:val="24"/>
        </w:rPr>
        <w:t>方式，本采购文件仅适用于采购公告中所述项目。</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（1）采购公告</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（4）项目需求</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请仔细检查采购文件是否齐全，如有缺漏请立即与采购</w:t>
      </w:r>
      <w:r>
        <w:rPr>
          <w:rFonts w:hint="eastAsia" w:ascii="宋体" w:hAnsi="宋体" w:cs="宋体"/>
          <w:sz w:val="24"/>
          <w:szCs w:val="24"/>
          <w:lang w:eastAsia="zh-CN"/>
        </w:rPr>
        <w:t>采购</w:t>
      </w:r>
      <w:r>
        <w:rPr>
          <w:rFonts w:hint="eastAsia" w:ascii="宋体" w:hAnsi="宋体" w:cs="宋体"/>
          <w:sz w:val="24"/>
          <w:szCs w:val="24"/>
        </w:rPr>
        <w:t>管理办公室联系解决。</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rPr>
        <w:t>壹仟元（1000元）</w:t>
      </w:r>
      <w:r>
        <w:rPr>
          <w:rFonts w:hint="eastAsia" w:ascii="宋体" w:hAnsi="宋体" w:cs="宋体"/>
          <w:sz w:val="24"/>
          <w:szCs w:val="24"/>
        </w:rPr>
        <w:t>投标保证金，作为其投标的组成部分之一。</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12.2投标保证金是为了保护</w:t>
      </w:r>
      <w:r>
        <w:rPr>
          <w:rFonts w:hint="eastAsia" w:ascii="宋体" w:hAnsi="宋体" w:cs="宋体"/>
          <w:sz w:val="24"/>
          <w:szCs w:val="24"/>
          <w:lang w:eastAsia="zh-CN"/>
        </w:rPr>
        <w:t>采购</w:t>
      </w:r>
      <w:r>
        <w:rPr>
          <w:rFonts w:hint="eastAsia" w:ascii="宋体" w:hAnsi="宋体" w:cs="宋体"/>
          <w:sz w:val="24"/>
          <w:szCs w:val="24"/>
        </w:rPr>
        <w:t>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投标有效期为</w:t>
      </w:r>
      <w:r>
        <w:rPr>
          <w:rFonts w:hint="eastAsia" w:ascii="宋体" w:hAnsi="宋体" w:cs="宋体"/>
          <w:sz w:val="24"/>
          <w:szCs w:val="24"/>
          <w:lang w:eastAsia="zh-CN"/>
        </w:rPr>
        <w:t>采购</w:t>
      </w:r>
      <w:r>
        <w:rPr>
          <w:rFonts w:hint="eastAsia" w:ascii="宋体" w:hAnsi="宋体" w:cs="宋体"/>
          <w:sz w:val="24"/>
          <w:szCs w:val="24"/>
        </w:rPr>
        <w:t>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hint="eastAsia"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w:t>
      </w:r>
      <w:r>
        <w:rPr>
          <w:rFonts w:hint="eastAsia" w:ascii="宋体" w:hAnsi="宋体" w:cs="宋体"/>
          <w:sz w:val="24"/>
          <w:szCs w:val="24"/>
          <w:lang w:eastAsia="zh-CN"/>
        </w:rPr>
        <w:t>采购</w:t>
      </w:r>
      <w:r>
        <w:rPr>
          <w:rFonts w:hint="eastAsia" w:ascii="宋体" w:hAnsi="宋体" w:cs="宋体"/>
          <w:sz w:val="24"/>
          <w:szCs w:val="24"/>
        </w:rPr>
        <w:t>管理办公室。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hint="eastAsia"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hint="eastAsia"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hint="eastAsia"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（3）投标人在报价时采用选择性报价；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hint="eastAsia"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w:t>
      </w:r>
      <w:r>
        <w:rPr>
          <w:rFonts w:hint="eastAsia" w:ascii="宋体" w:hAnsi="宋体" w:cs="宋体"/>
          <w:bCs/>
          <w:sz w:val="24"/>
          <w:szCs w:val="24"/>
          <w:lang w:eastAsia="zh-CN"/>
        </w:rPr>
        <w:t>采购</w:t>
      </w:r>
      <w:r>
        <w:rPr>
          <w:rFonts w:hint="eastAsia" w:ascii="宋体" w:hAnsi="宋体" w:cs="宋体"/>
          <w:bCs/>
          <w:sz w:val="24"/>
          <w:szCs w:val="24"/>
        </w:rPr>
        <w:t>任务取消情形外，采购项目首次</w:t>
      </w:r>
      <w:r>
        <w:rPr>
          <w:rFonts w:hint="eastAsia" w:ascii="宋体" w:hAnsi="宋体" w:cs="宋体"/>
          <w:bCs/>
          <w:sz w:val="24"/>
          <w:szCs w:val="24"/>
          <w:lang w:eastAsia="zh-CN"/>
        </w:rPr>
        <w:t>采购</w:t>
      </w:r>
      <w:r>
        <w:rPr>
          <w:rFonts w:hint="eastAsia" w:ascii="宋体" w:hAnsi="宋体" w:cs="宋体"/>
          <w:bCs/>
          <w:sz w:val="24"/>
          <w:szCs w:val="24"/>
        </w:rPr>
        <w:t>废标后，采购</w:t>
      </w:r>
      <w:r>
        <w:rPr>
          <w:rFonts w:hint="eastAsia" w:ascii="宋体" w:hAnsi="宋体" w:cs="宋体"/>
          <w:bCs/>
          <w:sz w:val="24"/>
          <w:szCs w:val="24"/>
          <w:lang w:eastAsia="zh-CN"/>
        </w:rPr>
        <w:t>采购</w:t>
      </w:r>
      <w:r>
        <w:rPr>
          <w:rFonts w:hint="eastAsia" w:ascii="宋体" w:hAnsi="宋体" w:cs="宋体"/>
          <w:bCs/>
          <w:sz w:val="24"/>
          <w:szCs w:val="24"/>
        </w:rPr>
        <w:t>管理办公室应重新</w:t>
      </w:r>
      <w:r>
        <w:rPr>
          <w:rFonts w:hint="eastAsia" w:ascii="宋体" w:hAnsi="宋体" w:cs="宋体"/>
          <w:bCs/>
          <w:sz w:val="24"/>
          <w:szCs w:val="24"/>
          <w:lang w:eastAsia="zh-CN"/>
        </w:rPr>
        <w:t>采购</w:t>
      </w:r>
      <w:r>
        <w:rPr>
          <w:rFonts w:hint="eastAsia" w:ascii="宋体" w:hAnsi="宋体" w:cs="宋体"/>
          <w:bCs/>
          <w:sz w:val="24"/>
          <w:szCs w:val="24"/>
        </w:rPr>
        <w:t>。重新</w:t>
      </w:r>
      <w:r>
        <w:rPr>
          <w:rFonts w:hint="eastAsia" w:ascii="宋体" w:hAnsi="宋体" w:cs="宋体"/>
          <w:bCs/>
          <w:sz w:val="24"/>
          <w:szCs w:val="24"/>
          <w:lang w:eastAsia="zh-CN"/>
        </w:rPr>
        <w:t>采购</w:t>
      </w:r>
      <w:r>
        <w:rPr>
          <w:rFonts w:hint="eastAsia" w:ascii="宋体" w:hAnsi="宋体" w:cs="宋体"/>
          <w:bCs/>
          <w:sz w:val="24"/>
          <w:szCs w:val="24"/>
        </w:rPr>
        <w:t>未能成立的，由采购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bCs/>
          <w:sz w:val="24"/>
          <w:szCs w:val="24"/>
          <w:lang w:eastAsia="zh-CN"/>
        </w:rPr>
        <w:t>采购</w:t>
      </w:r>
      <w:r>
        <w:rPr>
          <w:rFonts w:hint="eastAsia" w:ascii="宋体" w:hAnsi="宋体" w:cs="宋体"/>
          <w:bCs/>
          <w:sz w:val="24"/>
          <w:szCs w:val="24"/>
        </w:rPr>
        <w:t>监督小组与项目承办单位会商决定采取其他方式采购。</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w:t>
      </w:r>
      <w:r>
        <w:rPr>
          <w:rFonts w:hint="eastAsia" w:ascii="宋体" w:hAnsi="宋体" w:cs="宋体"/>
          <w:sz w:val="24"/>
          <w:szCs w:val="24"/>
          <w:lang w:eastAsia="zh-CN"/>
        </w:rPr>
        <w:t>采购</w:t>
      </w:r>
      <w:r>
        <w:rPr>
          <w:rFonts w:hint="eastAsia" w:ascii="宋体" w:hAnsi="宋体" w:cs="宋体"/>
          <w:sz w:val="24"/>
          <w:szCs w:val="24"/>
        </w:rPr>
        <w:t>小组推荐中标候选人。最终由</w:t>
      </w:r>
      <w:r>
        <w:rPr>
          <w:rFonts w:hint="eastAsia" w:ascii="宋体" w:hAnsi="宋体" w:cs="宋体"/>
          <w:sz w:val="24"/>
          <w:szCs w:val="24"/>
          <w:lang w:eastAsia="zh-CN"/>
        </w:rPr>
        <w:t>采购</w:t>
      </w:r>
      <w:r>
        <w:rPr>
          <w:rFonts w:hint="eastAsia" w:ascii="宋体" w:hAnsi="宋体" w:cs="宋体"/>
          <w:sz w:val="24"/>
          <w:szCs w:val="24"/>
        </w:rPr>
        <w:t>小组根据推荐的中标候选人确定中标人。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sz w:val="24"/>
          <w:szCs w:val="24"/>
        </w:rPr>
        <w:t>工作人员恶意串通的；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（3）向评审专家、采购人或采购</w:t>
      </w:r>
      <w:r>
        <w:rPr>
          <w:rFonts w:hint="eastAsia" w:ascii="宋体" w:hAnsi="宋体" w:cs="宋体"/>
          <w:sz w:val="24"/>
          <w:szCs w:val="24"/>
          <w:lang w:eastAsia="zh-CN"/>
        </w:rPr>
        <w:t>采购</w:t>
      </w:r>
      <w:r>
        <w:rPr>
          <w:rFonts w:hint="eastAsia" w:ascii="宋体" w:hAnsi="宋体" w:cs="宋体"/>
          <w:sz w:val="24"/>
          <w:szCs w:val="24"/>
        </w:rPr>
        <w:t>管理办公室工作人员行贿或者提供其它不正当利益的；</w:t>
      </w:r>
    </w:p>
    <w:p>
      <w:pPr>
        <w:snapToGrid w:val="0"/>
        <w:spacing w:line="360" w:lineRule="exact"/>
        <w:ind w:left="480"/>
        <w:rPr>
          <w:rFonts w:hint="eastAsia"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hint="eastAsia" w:ascii="宋体" w:hAnsi="宋体" w:cs="宋体"/>
          <w:sz w:val="24"/>
          <w:szCs w:val="24"/>
        </w:rPr>
      </w:pPr>
      <w:r>
        <w:rPr>
          <w:rFonts w:hint="eastAsia" w:ascii="宋体" w:hAnsi="宋体" w:cs="宋体"/>
          <w:bCs/>
          <w:sz w:val="24"/>
          <w:szCs w:val="24"/>
        </w:rPr>
        <w:t>在此情况下一经认定，报经项目</w:t>
      </w:r>
      <w:r>
        <w:rPr>
          <w:rFonts w:hint="eastAsia" w:ascii="宋体" w:hAnsi="宋体" w:cs="宋体"/>
          <w:bCs/>
          <w:sz w:val="24"/>
          <w:szCs w:val="24"/>
          <w:lang w:eastAsia="zh-CN"/>
        </w:rPr>
        <w:t>采购</w:t>
      </w:r>
      <w:r>
        <w:rPr>
          <w:rFonts w:hint="eastAsia" w:ascii="宋体" w:hAnsi="宋体" w:cs="宋体"/>
          <w:bCs/>
          <w:sz w:val="24"/>
          <w:szCs w:val="24"/>
        </w:rPr>
        <w:t>监督小组批准，采购</w:t>
      </w:r>
      <w:r>
        <w:rPr>
          <w:rFonts w:hint="eastAsia" w:ascii="宋体" w:hAnsi="宋体" w:cs="宋体"/>
          <w:bCs/>
          <w:sz w:val="24"/>
          <w:szCs w:val="24"/>
          <w:lang w:eastAsia="zh-CN"/>
        </w:rPr>
        <w:t>采购</w:t>
      </w:r>
      <w:r>
        <w:rPr>
          <w:rFonts w:hint="eastAsia" w:ascii="宋体" w:hAnsi="宋体" w:cs="宋体"/>
          <w:bCs/>
          <w:sz w:val="24"/>
          <w:szCs w:val="24"/>
        </w:rPr>
        <w:t>管理办公室有权重新组织采购</w:t>
      </w:r>
      <w:r>
        <w:rPr>
          <w:rFonts w:hint="eastAsia" w:ascii="宋体" w:hAnsi="宋体" w:cs="宋体"/>
          <w:sz w:val="24"/>
          <w:szCs w:val="24"/>
        </w:rPr>
        <w:t>。</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hint="eastAsia"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jc w:val="center"/>
        <w:rPr>
          <w:rFonts w:hint="eastAsia" w:ascii="宋体" w:hAnsi="宋体" w:cs="宋体"/>
          <w:bCs/>
          <w:sz w:val="44"/>
        </w:rPr>
      </w:pPr>
      <w:r>
        <w:rPr>
          <w:rFonts w:hint="eastAsia" w:ascii="宋体" w:hAnsi="宋体" w:cs="宋体"/>
          <w:sz w:val="24"/>
          <w:szCs w:val="24"/>
        </w:rPr>
        <w:br w:type="page"/>
      </w:r>
      <w:bookmarkEnd w:id="12"/>
      <w:bookmarkEnd w:id="13"/>
      <w:bookmarkEnd w:id="14"/>
      <w:bookmarkEnd w:id="15"/>
      <w:bookmarkStart w:id="16" w:name="_Toc479757207"/>
      <w:bookmarkStart w:id="17" w:name="_Toc120614221"/>
      <w:bookmarkStart w:id="18" w:name="_Toc20823314"/>
      <w:bookmarkStart w:id="19" w:name="_Toc513029242"/>
      <w:bookmarkStart w:id="20" w:name="_Toc16938558"/>
      <w:r>
        <w:rPr>
          <w:rFonts w:hint="eastAsia" w:ascii="宋体" w:hAnsi="宋体" w:cs="宋体"/>
          <w:bCs/>
          <w:sz w:val="44"/>
        </w:rPr>
        <w:t>第三章  合同条款及</w:t>
      </w:r>
      <w:bookmarkEnd w:id="16"/>
      <w:bookmarkEnd w:id="17"/>
      <w:bookmarkEnd w:id="18"/>
      <w:bookmarkEnd w:id="19"/>
      <w:bookmarkEnd w:id="20"/>
      <w:r>
        <w:rPr>
          <w:rFonts w:hint="eastAsia" w:ascii="宋体" w:hAnsi="宋体" w:cs="宋体"/>
          <w:bCs/>
          <w:sz w:val="44"/>
        </w:rPr>
        <w:t>格式</w:t>
      </w:r>
    </w:p>
    <w:p>
      <w:pPr>
        <w:spacing w:line="360" w:lineRule="exact"/>
        <w:ind w:firstLine="480" w:firstLineChars="200"/>
        <w:contextualSpacing/>
        <w:rPr>
          <w:rFonts w:hint="eastAsia" w:ascii="宋体" w:hAnsi="宋体" w:cs="宋体"/>
          <w:bCs/>
          <w:sz w:val="24"/>
        </w:rPr>
      </w:pPr>
      <w:bookmarkStart w:id="21" w:name="_Toc20823315"/>
      <w:bookmarkStart w:id="22" w:name="_Toc16938559"/>
      <w:bookmarkStart w:id="23" w:name="_Toc513029243"/>
      <w:r>
        <w:rPr>
          <w:rFonts w:hint="eastAsia" w:ascii="宋体" w:hAnsi="宋体" w:cs="宋体"/>
          <w:bCs/>
          <w:sz w:val="24"/>
        </w:rPr>
        <w:t>以下为中标后签定本项目合同的通用条款，中标人不得提出实质性的修改，关于专用条款将由项目使用单位与中标人结合本项目具体情况协商后签订。</w:t>
      </w:r>
    </w:p>
    <w:p>
      <w:pPr>
        <w:widowControl/>
        <w:snapToGrid w:val="0"/>
        <w:spacing w:before="19"/>
        <w:ind w:left="-358" w:leftChars="-255" w:right="-334" w:rightChars="-159" w:hanging="177" w:hangingChars="49"/>
        <w:jc w:val="center"/>
        <w:rPr>
          <w:rFonts w:hint="eastAsia" w:ascii="宋体" w:hAnsi="宋体" w:cs="宋体"/>
          <w:b/>
          <w:sz w:val="36"/>
        </w:rPr>
      </w:pPr>
      <w:r>
        <w:rPr>
          <w:rFonts w:hint="eastAsia" w:ascii="宋体" w:hAnsi="宋体" w:cs="宋体"/>
          <w:b/>
          <w:sz w:val="36"/>
        </w:rPr>
        <w:t>南京邮电大学通达学院采购合同</w:t>
      </w:r>
    </w:p>
    <w:p>
      <w:pPr>
        <w:spacing w:line="360" w:lineRule="exact"/>
        <w:rPr>
          <w:rFonts w:hint="eastAsia" w:ascii="宋体" w:hAnsi="宋体" w:cs="宋体"/>
          <w:sz w:val="24"/>
        </w:rPr>
      </w:pPr>
      <w:r>
        <w:rPr>
          <w:rFonts w:hint="eastAsia" w:ascii="宋体" w:hAnsi="宋体" w:cs="宋体"/>
          <w:sz w:val="24"/>
        </w:rPr>
        <w:t xml:space="preserve">甲方：南京邮电大学通达学院               签订地点：南京邮电大学通达学院 </w:t>
      </w:r>
    </w:p>
    <w:p>
      <w:pPr>
        <w:widowControl/>
        <w:snapToGrid w:val="0"/>
        <w:spacing w:line="360" w:lineRule="exact"/>
        <w:rPr>
          <w:rFonts w:hint="eastAsia" w:ascii="宋体" w:hAnsi="宋体" w:cs="宋体"/>
          <w:sz w:val="24"/>
        </w:rPr>
      </w:pPr>
      <w:r>
        <w:rPr>
          <w:rFonts w:hint="eastAsia" w:ascii="宋体" w:hAnsi="宋体" w:cs="宋体"/>
          <w:sz w:val="24"/>
        </w:rPr>
        <w:t xml:space="preserve">乙方：                                   </w:t>
      </w:r>
    </w:p>
    <w:p>
      <w:pPr>
        <w:widowControl/>
        <w:snapToGrid w:val="0"/>
        <w:spacing w:line="360" w:lineRule="exact"/>
        <w:ind w:firstLine="480"/>
        <w:rPr>
          <w:rFonts w:hint="eastAsia"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lang w:eastAsia="zh-CN"/>
        </w:rPr>
        <w:t>采购</w:t>
      </w:r>
      <w:r>
        <w:rPr>
          <w:rFonts w:hint="eastAsia" w:ascii="宋体" w:hAnsi="宋体" w:cs="宋体"/>
          <w:sz w:val="24"/>
        </w:rPr>
        <w:t>（谈判、询价）采购结果,依据《中华人民共和国合同法》及相关法律规定，达成如下货物购销合同:</w:t>
      </w:r>
    </w:p>
    <w:p>
      <w:pPr>
        <w:widowControl/>
        <w:snapToGrid w:val="0"/>
        <w:spacing w:line="360" w:lineRule="exact"/>
        <w:rPr>
          <w:rFonts w:hint="eastAsia" w:ascii="宋体" w:hAnsi="宋体" w:cs="宋体"/>
          <w:sz w:val="24"/>
        </w:rPr>
      </w:pPr>
      <w:r>
        <w:rPr>
          <w:rFonts w:hint="eastAsia" w:ascii="宋体" w:hAnsi="宋体" w:cs="宋体"/>
          <w:sz w:val="24"/>
        </w:rPr>
        <w:t>一、货物及其数量、金额：</w:t>
      </w:r>
    </w:p>
    <w:tbl>
      <w:tblPr>
        <w:tblStyle w:val="11"/>
        <w:tblW w:w="0" w:type="auto"/>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编号</w:t>
            </w:r>
          </w:p>
        </w:tc>
        <w:tc>
          <w:tcPr>
            <w:tcW w:w="126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货物名称</w:t>
            </w:r>
          </w:p>
        </w:tc>
        <w:tc>
          <w:tcPr>
            <w:tcW w:w="3933"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规 格 型 号（品牌）</w:t>
            </w:r>
          </w:p>
        </w:tc>
        <w:tc>
          <w:tcPr>
            <w:tcW w:w="992"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276"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单价（元）</w:t>
            </w:r>
          </w:p>
        </w:tc>
        <w:tc>
          <w:tcPr>
            <w:tcW w:w="1275" w:type="dxa"/>
            <w:shd w:val="pct10" w:color="auto" w:fill="FFFFFF"/>
            <w:noWrap w:val="0"/>
            <w:vAlign w:val="center"/>
          </w:tcPr>
          <w:p>
            <w:pPr>
              <w:widowControl/>
              <w:jc w:val="left"/>
              <w:rPr>
                <w:rFonts w:hint="eastAsia"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1</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pacing w:line="240" w:lineRule="atLeast"/>
              <w:jc w:val="center"/>
              <w:rPr>
                <w:rFonts w:hint="eastAsia" w:ascii="宋体" w:hAnsi="宋体" w:cs="宋体"/>
                <w:b/>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2</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3</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noWrap w:val="0"/>
            <w:vAlign w:val="center"/>
          </w:tcPr>
          <w:p>
            <w:pPr>
              <w:rPr>
                <w:rFonts w:hint="eastAsia"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rPr>
                <w:rFonts w:hint="eastAsia"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widowControl/>
        <w:snapToGrid w:val="0"/>
        <w:spacing w:line="360" w:lineRule="exact"/>
        <w:rPr>
          <w:rFonts w:hint="eastAsia" w:ascii="宋体" w:hAnsi="宋体" w:cs="宋体"/>
          <w:sz w:val="24"/>
          <w:szCs w:val="24"/>
        </w:rPr>
      </w:pPr>
      <w:r>
        <w:rPr>
          <w:rFonts w:hint="eastAsia" w:ascii="宋体" w:hAnsi="宋体" w:cs="宋体"/>
          <w:sz w:val="24"/>
          <w:szCs w:val="24"/>
        </w:rPr>
        <w:t>二、交货时间：在规定时间按照甲方要求安装完成摆放到位。</w:t>
      </w:r>
    </w:p>
    <w:p>
      <w:pPr>
        <w:widowControl/>
        <w:snapToGrid w:val="0"/>
        <w:spacing w:line="360" w:lineRule="exact"/>
        <w:rPr>
          <w:rFonts w:hint="eastAsia"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60" w:lineRule="exact"/>
        <w:rPr>
          <w:rFonts w:hint="eastAsia"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95%；质保期满后无质量问题，余款无息结清。甲方付款前乙方需提供合法、有效、等额的增值税专用发票，并在发票备注栏注明“教学用”字样，否则，甲方有权拒付相应款项。</w:t>
      </w:r>
    </w:p>
    <w:p>
      <w:pPr>
        <w:widowControl/>
        <w:snapToGrid w:val="0"/>
        <w:spacing w:line="360" w:lineRule="exact"/>
        <w:rPr>
          <w:rFonts w:hint="eastAsia"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60" w:lineRule="exact"/>
        <w:rPr>
          <w:rFonts w:hint="eastAsia" w:ascii="宋体" w:hAnsi="宋体" w:cs="宋体"/>
          <w:sz w:val="24"/>
        </w:rPr>
      </w:pPr>
      <w:r>
        <w:rPr>
          <w:rFonts w:hint="eastAsia" w:ascii="宋体" w:hAnsi="宋体" w:cs="宋体"/>
          <w:sz w:val="24"/>
        </w:rPr>
        <w:t>六、质量要求、技术标准、乙方对质量负责的条件和期限：</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w:t>
      </w:r>
      <w:r>
        <w:rPr>
          <w:rFonts w:hint="eastAsia" w:ascii="宋体" w:hAnsi="宋体" w:cs="宋体"/>
          <w:sz w:val="24"/>
          <w:lang w:eastAsia="zh-CN"/>
        </w:rPr>
        <w:t>采购</w:t>
      </w:r>
      <w:r>
        <w:rPr>
          <w:rFonts w:hint="eastAsia" w:ascii="宋体" w:hAnsi="宋体" w:cs="宋体"/>
          <w:sz w:val="24"/>
        </w:rPr>
        <w:t>书要求、投标文件确定承诺。货物验收后，在质量保证期内，乙方应对由于设计、工艺或材料的缺陷所发生的任何不足或故障负责，所需费用由乙方承担。</w:t>
      </w:r>
    </w:p>
    <w:p>
      <w:pPr>
        <w:widowControl/>
        <w:snapToGrid w:val="0"/>
        <w:spacing w:line="360" w:lineRule="exact"/>
        <w:rPr>
          <w:rFonts w:hint="eastAsia"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60" w:lineRule="exact"/>
        <w:rPr>
          <w:rFonts w:hint="eastAsia"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60" w:lineRule="exact"/>
        <w:rPr>
          <w:rFonts w:hint="eastAsia"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60" w:lineRule="exact"/>
        <w:rPr>
          <w:rFonts w:hint="eastAsia" w:ascii="宋体" w:hAnsi="宋体" w:cs="宋体"/>
          <w:sz w:val="24"/>
        </w:rPr>
      </w:pPr>
      <w:r>
        <w:rPr>
          <w:rFonts w:hint="eastAsia" w:ascii="宋体" w:hAnsi="宋体" w:cs="宋体"/>
          <w:sz w:val="24"/>
        </w:rPr>
        <w:t>十、违约责任</w:t>
      </w:r>
    </w:p>
    <w:p>
      <w:pPr>
        <w:widowControl/>
        <w:snapToGrid w:val="0"/>
        <w:spacing w:line="360" w:lineRule="exact"/>
        <w:rPr>
          <w:rFonts w:hint="eastAsia"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spacing w:line="360" w:lineRule="exact"/>
        <w:rPr>
          <w:rFonts w:hint="eastAsia" w:ascii="宋体" w:hAnsi="宋体" w:cs="宋体"/>
          <w:sz w:val="24"/>
        </w:rPr>
      </w:pPr>
      <w:r>
        <w:rPr>
          <w:rFonts w:hint="eastAsia" w:ascii="宋体" w:hAnsi="宋体" w:cs="宋体"/>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exact"/>
        <w:rPr>
          <w:rFonts w:hint="eastAsia" w:ascii="宋体" w:hAnsi="宋体" w:cs="宋体"/>
          <w:sz w:val="24"/>
        </w:rPr>
      </w:pPr>
      <w:r>
        <w:rPr>
          <w:rFonts w:hint="eastAsia" w:ascii="宋体" w:hAnsi="宋体" w:cs="宋体"/>
          <w:sz w:val="24"/>
        </w:rPr>
        <w:t>3、乙方所交的货物品种、型号、规格、技术参数、质量不符合合同规定及</w:t>
      </w:r>
      <w:r>
        <w:rPr>
          <w:rFonts w:hint="eastAsia" w:ascii="宋体" w:hAnsi="宋体" w:cs="宋体"/>
          <w:sz w:val="24"/>
          <w:lang w:eastAsia="zh-CN"/>
        </w:rPr>
        <w:t>采购文件</w:t>
      </w:r>
      <w:r>
        <w:rPr>
          <w:rFonts w:hint="eastAsia" w:ascii="宋体" w:hAnsi="宋体" w:cs="宋体"/>
          <w:sz w:val="24"/>
        </w:rPr>
        <w:t>规定标准的，甲方有权拒收该货物，乙方愿意更换货物但逾期交货的，按乙方逾期交货处理。乙方拒绝更换货物的，甲方可单方面解除合同。</w:t>
      </w:r>
    </w:p>
    <w:p>
      <w:pPr>
        <w:widowControl/>
        <w:snapToGrid w:val="0"/>
        <w:spacing w:line="360" w:lineRule="exact"/>
        <w:rPr>
          <w:rFonts w:hint="eastAsia"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60" w:lineRule="exact"/>
        <w:rPr>
          <w:rFonts w:hint="eastAsia" w:ascii="宋体" w:hAnsi="宋体" w:cs="宋体"/>
          <w:sz w:val="24"/>
        </w:rPr>
      </w:pPr>
      <w:r>
        <w:rPr>
          <w:rFonts w:hint="eastAsia" w:ascii="宋体" w:hAnsi="宋体" w:cs="宋体"/>
          <w:sz w:val="24"/>
        </w:rPr>
        <w:t>十一、 合同的变更和终止</w:t>
      </w:r>
    </w:p>
    <w:p>
      <w:pPr>
        <w:widowControl/>
        <w:snapToGrid w:val="0"/>
        <w:spacing w:line="360" w:lineRule="exact"/>
        <w:rPr>
          <w:rFonts w:hint="eastAsia"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60" w:lineRule="exact"/>
        <w:rPr>
          <w:rFonts w:hint="eastAsia" w:ascii="宋体" w:hAnsi="宋体" w:cs="宋体"/>
          <w:sz w:val="24"/>
        </w:rPr>
      </w:pPr>
      <w:r>
        <w:rPr>
          <w:rFonts w:hint="eastAsia" w:ascii="宋体" w:hAnsi="宋体" w:cs="宋体"/>
          <w:sz w:val="24"/>
        </w:rPr>
        <w:t>十二、合同的转让</w:t>
      </w:r>
    </w:p>
    <w:p>
      <w:pPr>
        <w:widowControl/>
        <w:snapToGrid w:val="0"/>
        <w:spacing w:line="360" w:lineRule="exact"/>
        <w:rPr>
          <w:rFonts w:hint="eastAsia" w:ascii="宋体" w:hAnsi="宋体" w:cs="宋体"/>
          <w:sz w:val="24"/>
        </w:rPr>
      </w:pPr>
      <w:r>
        <w:rPr>
          <w:rFonts w:hint="eastAsia" w:ascii="宋体" w:hAnsi="宋体" w:cs="宋体"/>
          <w:sz w:val="24"/>
        </w:rPr>
        <w:t>乙方不得擅自部分或全部转让其应履行的合同义务。</w:t>
      </w:r>
    </w:p>
    <w:p>
      <w:pPr>
        <w:widowControl/>
        <w:snapToGrid w:val="0"/>
        <w:spacing w:line="360" w:lineRule="exact"/>
        <w:rPr>
          <w:rFonts w:hint="eastAsia" w:ascii="宋体" w:hAnsi="宋体" w:cs="宋体"/>
          <w:sz w:val="24"/>
        </w:rPr>
      </w:pPr>
      <w:r>
        <w:rPr>
          <w:rFonts w:hint="eastAsia" w:ascii="宋体" w:hAnsi="宋体" w:cs="宋体"/>
          <w:sz w:val="24"/>
        </w:rPr>
        <w:t>十三、 争议的解决</w:t>
      </w:r>
    </w:p>
    <w:p>
      <w:pPr>
        <w:widowControl/>
        <w:snapToGrid w:val="0"/>
        <w:spacing w:line="360" w:lineRule="exact"/>
        <w:rPr>
          <w:rFonts w:hint="eastAsia"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60" w:lineRule="exact"/>
        <w:rPr>
          <w:rFonts w:hint="eastAsia"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60" w:lineRule="exact"/>
        <w:rPr>
          <w:rFonts w:hint="eastAsia"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1"/>
    <w:bookmarkEnd w:id="22"/>
    <w:bookmarkEnd w:id="23"/>
    <w:p>
      <w:pPr>
        <w:widowControl/>
        <w:snapToGrid w:val="0"/>
        <w:spacing w:line="280" w:lineRule="exact"/>
        <w:rPr>
          <w:rFonts w:hint="eastAsia" w:ascii="宋体" w:hAnsi="宋体" w:cs="宋体"/>
        </w:rPr>
      </w:pPr>
      <w:bookmarkStart w:id="24" w:name="_Hlt16619369"/>
      <w:bookmarkEnd w:id="24"/>
      <w:bookmarkStart w:id="25" w:name="_Toc20823346"/>
      <w:bookmarkStart w:id="26" w:name="_Toc120614244"/>
      <w:bookmarkStart w:id="27" w:name="_Hlt16619350"/>
      <w:bookmarkStart w:id="28" w:name="_Toc16938590"/>
      <w:bookmarkStart w:id="29" w:name="_Toc479757211"/>
      <w:bookmarkStart w:id="30" w:name="_Toc462564139"/>
      <w:r>
        <w:rPr>
          <w:rFonts w:hint="eastAsia" w:ascii="宋体" w:hAnsi="宋体" w:cs="宋体"/>
        </w:rPr>
        <w:t>甲方                                               乙方</w:t>
      </w:r>
    </w:p>
    <w:p>
      <w:pPr>
        <w:widowControl/>
        <w:snapToGrid w:val="0"/>
        <w:spacing w:line="280" w:lineRule="exact"/>
        <w:rPr>
          <w:rFonts w:hint="eastAsia" w:ascii="宋体" w:hAnsi="宋体" w:cs="宋体"/>
        </w:rPr>
      </w:pPr>
      <w:r>
        <w:rPr>
          <w:rFonts w:hint="eastAsia" w:ascii="宋体" w:hAnsi="宋体" w:cs="宋体"/>
        </w:rPr>
        <w:t>单位名称：南京邮电大学通达学院                     单位名称：</w:t>
      </w:r>
    </w:p>
    <w:p>
      <w:pPr>
        <w:widowControl/>
        <w:snapToGrid w:val="0"/>
        <w:spacing w:line="280" w:lineRule="exact"/>
        <w:rPr>
          <w:rFonts w:hint="eastAsia" w:ascii="宋体" w:hAnsi="宋体" w:cs="宋体"/>
        </w:rPr>
      </w:pPr>
      <w:r>
        <w:rPr>
          <w:rFonts w:hint="eastAsia" w:ascii="宋体" w:hAnsi="宋体" w:cs="宋体"/>
        </w:rPr>
        <w:t>单位地址：扬州市润扬南路33号                      单位地址：</w:t>
      </w:r>
    </w:p>
    <w:p>
      <w:pPr>
        <w:widowControl/>
        <w:snapToGrid w:val="0"/>
        <w:spacing w:line="280" w:lineRule="exact"/>
        <w:rPr>
          <w:rFonts w:hint="eastAsia" w:ascii="宋体" w:hAnsi="宋体" w:cs="宋体"/>
        </w:rPr>
      </w:pPr>
      <w:r>
        <w:rPr>
          <w:rFonts w:hint="eastAsia" w:ascii="宋体" w:hAnsi="宋体" w:cs="宋体"/>
        </w:rPr>
        <w:t>法定代表人：                                       法定代表人：</w:t>
      </w:r>
    </w:p>
    <w:p>
      <w:pPr>
        <w:widowControl/>
        <w:snapToGrid w:val="0"/>
        <w:spacing w:line="280" w:lineRule="exact"/>
        <w:rPr>
          <w:rFonts w:hint="eastAsia" w:ascii="宋体" w:hAnsi="宋体" w:cs="宋体"/>
        </w:rPr>
      </w:pPr>
      <w:r>
        <w:rPr>
          <w:rFonts w:hint="eastAsia" w:ascii="宋体" w:hAnsi="宋体" w:cs="宋体"/>
        </w:rPr>
        <w:t>委托代理人（签字）：                                委托代理人（签字）：</w:t>
      </w:r>
    </w:p>
    <w:p>
      <w:pPr>
        <w:widowControl/>
        <w:snapToGrid w:val="0"/>
        <w:spacing w:line="280" w:lineRule="exact"/>
        <w:rPr>
          <w:rFonts w:hint="eastAsia" w:ascii="宋体" w:hAnsi="宋体" w:cs="宋体"/>
        </w:rPr>
      </w:pPr>
      <w:r>
        <w:rPr>
          <w:rFonts w:hint="eastAsia" w:ascii="宋体" w:hAnsi="宋体" w:cs="宋体"/>
        </w:rPr>
        <w:t xml:space="preserve">联系电话：                                         联系电话：                                            </w:t>
      </w:r>
    </w:p>
    <w:p>
      <w:pPr>
        <w:widowControl/>
        <w:snapToGrid w:val="0"/>
        <w:spacing w:line="280" w:lineRule="exact"/>
        <w:rPr>
          <w:rFonts w:hint="eastAsia" w:ascii="宋体" w:hAnsi="宋体" w:cs="宋体"/>
        </w:rPr>
      </w:pPr>
      <w:r>
        <w:rPr>
          <w:rFonts w:hint="eastAsia" w:ascii="宋体" w:hAnsi="宋体" w:cs="宋体"/>
        </w:rPr>
        <w:t xml:space="preserve">开户银行：                                         开户银行： </w:t>
      </w:r>
    </w:p>
    <w:p>
      <w:pPr>
        <w:widowControl/>
        <w:snapToGrid w:val="0"/>
        <w:spacing w:line="280" w:lineRule="exact"/>
        <w:rPr>
          <w:rFonts w:hint="eastAsia" w:ascii="宋体" w:hAnsi="宋体" w:cs="宋体"/>
        </w:rPr>
      </w:pPr>
      <w:r>
        <w:rPr>
          <w:rFonts w:hint="eastAsia" w:ascii="宋体" w:hAnsi="宋体" w:cs="宋体"/>
        </w:rPr>
        <w:t xml:space="preserve">户名：                                             户名： </w:t>
      </w:r>
    </w:p>
    <w:p>
      <w:pPr>
        <w:widowControl/>
        <w:snapToGrid w:val="0"/>
        <w:spacing w:line="280" w:lineRule="exact"/>
        <w:rPr>
          <w:rFonts w:hint="eastAsia" w:ascii="宋体" w:hAnsi="宋体" w:cs="宋体"/>
        </w:rPr>
      </w:pPr>
      <w:r>
        <w:rPr>
          <w:rFonts w:hint="eastAsia" w:ascii="宋体" w:hAnsi="宋体" w:cs="宋体"/>
        </w:rPr>
        <w:t xml:space="preserve">账号：                                             账号： </w:t>
      </w:r>
    </w:p>
    <w:p>
      <w:pPr>
        <w:widowControl/>
        <w:snapToGrid w:val="0"/>
        <w:spacing w:line="280" w:lineRule="exact"/>
        <w:rPr>
          <w:rFonts w:hint="eastAsia" w:ascii="宋体" w:hAnsi="宋体" w:cs="宋体"/>
        </w:rPr>
      </w:pPr>
      <w:r>
        <w:rPr>
          <w:rFonts w:hint="eastAsia" w:ascii="宋体" w:hAnsi="宋体" w:cs="宋体"/>
        </w:rPr>
        <w:t xml:space="preserve">税号：                                             行号：  </w:t>
      </w:r>
    </w:p>
    <w:p>
      <w:pPr>
        <w:widowControl/>
        <w:snapToGrid w:val="0"/>
        <w:spacing w:line="280" w:lineRule="exact"/>
        <w:rPr>
          <w:rFonts w:hint="eastAsia" w:ascii="宋体" w:hAnsi="宋体" w:cs="宋体"/>
        </w:rPr>
      </w:pPr>
      <w:r>
        <w:rPr>
          <w:rFonts w:hint="eastAsia" w:ascii="宋体" w:hAnsi="宋体" w:cs="宋体"/>
        </w:rPr>
        <w:t>电话：0514-89716081                                项目联系人：</w:t>
      </w:r>
    </w:p>
    <w:p>
      <w:pPr>
        <w:widowControl/>
        <w:snapToGrid w:val="0"/>
        <w:spacing w:line="280" w:lineRule="exact"/>
        <w:rPr>
          <w:rFonts w:hint="eastAsia" w:ascii="宋体" w:hAnsi="宋体" w:cs="宋体"/>
        </w:rPr>
      </w:pPr>
      <w:r>
        <w:rPr>
          <w:rFonts w:hint="eastAsia" w:ascii="宋体" w:hAnsi="宋体" w:cs="宋体"/>
        </w:rPr>
        <w:t>签约日期（即合同生效日期）：    年   月    日       联系电话：</w:t>
      </w:r>
    </w:p>
    <w:p>
      <w:pPr>
        <w:jc w:val="center"/>
        <w:rPr>
          <w:rFonts w:hint="eastAsia"/>
          <w:b/>
          <w:sz w:val="36"/>
          <w:szCs w:val="36"/>
        </w:rPr>
      </w:pPr>
      <w:r>
        <w:rPr>
          <w:rFonts w:hint="eastAsia" w:ascii="宋体" w:hAnsi="宋体" w:cs="宋体"/>
          <w:bCs/>
          <w:sz w:val="44"/>
        </w:rPr>
        <w:br w:type="page"/>
      </w:r>
      <w:r>
        <w:rPr>
          <w:rFonts w:hint="eastAsia" w:ascii="宋体" w:hAnsi="宋体" w:cs="宋体"/>
          <w:bCs/>
          <w:sz w:val="44"/>
          <w:lang w:eastAsia="zh-CN"/>
        </w:rPr>
        <w:t>第四章</w:t>
      </w:r>
      <w:r>
        <w:rPr>
          <w:rFonts w:hint="eastAsia" w:ascii="宋体" w:hAnsi="宋体" w:cs="宋体"/>
          <w:bCs/>
          <w:sz w:val="44"/>
          <w:lang w:val="en-US" w:eastAsia="zh-CN"/>
        </w:rPr>
        <w:t xml:space="preserve">  </w:t>
      </w:r>
      <w:bookmarkStart w:id="31" w:name="_Toc403722970"/>
      <w:bookmarkStart w:id="32" w:name="_Toc194758350"/>
      <w:bookmarkStart w:id="33" w:name="_Toc194757239"/>
      <w:r>
        <w:rPr>
          <w:rFonts w:hint="eastAsia" w:ascii="宋体" w:hAnsi="宋体" w:cs="宋体"/>
          <w:bCs/>
          <w:sz w:val="44"/>
          <w:lang w:eastAsia="zh-CN"/>
        </w:rPr>
        <w:t>入侵防御系统项目技术要求</w:t>
      </w:r>
    </w:p>
    <w:bookmarkEnd w:id="31"/>
    <w:bookmarkEnd w:id="32"/>
    <w:bookmarkEnd w:id="33"/>
    <w:p>
      <w:pPr>
        <w:numPr>
          <w:ilvl w:val="0"/>
          <w:numId w:val="3"/>
        </w:numPr>
        <w:spacing w:line="360" w:lineRule="auto"/>
        <w:rPr>
          <w:rFonts w:hint="eastAsia"/>
          <w:b/>
          <w:sz w:val="24"/>
        </w:rPr>
      </w:pPr>
      <w:r>
        <w:rPr>
          <w:rFonts w:hint="eastAsia"/>
          <w:b/>
          <w:sz w:val="24"/>
        </w:rPr>
        <w:t>项目介绍</w:t>
      </w:r>
    </w:p>
    <w:p>
      <w:pPr>
        <w:pStyle w:val="10"/>
        <w:spacing w:before="0" w:beforeAutospacing="0" w:after="0" w:afterAutospacing="0" w:line="360" w:lineRule="auto"/>
        <w:rPr>
          <w:rFonts w:hint="eastAsia" w:hAnsi="Times New Roman"/>
        </w:rPr>
      </w:pPr>
      <w:r>
        <w:rPr>
          <w:rFonts w:hint="eastAsia"/>
        </w:rPr>
        <w:tab/>
      </w:r>
      <w:r>
        <w:rPr>
          <w:rFonts w:hint="eastAsia"/>
        </w:rPr>
        <w:t>为</w:t>
      </w:r>
      <w:r>
        <w:rPr>
          <w:rFonts w:hint="eastAsia" w:hAnsi="Arial"/>
          <w:shd w:val="clear" w:color="auto" w:fill="FFFFFF"/>
        </w:rPr>
        <w:t>保障</w:t>
      </w:r>
      <w:r>
        <w:rPr>
          <w:rFonts w:hAnsi="Arial"/>
          <w:shd w:val="clear" w:color="auto" w:fill="FFFFFF"/>
        </w:rPr>
        <w:t>系统连续可靠正常地运行，</w:t>
      </w:r>
      <w:r>
        <w:rPr>
          <w:rFonts w:hint="eastAsia"/>
        </w:rPr>
        <w:t>保障南京邮电大学通达学院校园一卡通</w:t>
      </w:r>
      <w:r>
        <w:rPr>
          <w:rFonts w:hAnsi="Arial"/>
          <w:shd w:val="clear" w:color="auto" w:fill="FFFFFF"/>
        </w:rPr>
        <w:t>系统</w:t>
      </w:r>
      <w:r>
        <w:rPr>
          <w:rFonts w:hint="eastAsia" w:hAnsi="Arial"/>
          <w:shd w:val="clear" w:color="auto" w:fill="FFFFFF"/>
        </w:rPr>
        <w:t>安全，</w:t>
      </w:r>
      <w:r>
        <w:t>实时检测和阻断包括溢出攻击、RPC攻击、WebCGI攻击、拒绝服务攻击、木马、蠕虫、系统漏洞等，</w:t>
      </w:r>
      <w:r>
        <w:rPr>
          <w:rFonts w:hint="eastAsia"/>
        </w:rPr>
        <w:t>过滤有害数据流，丢弃有害数据包，并进行记载，以</w:t>
      </w:r>
    </w:p>
    <w:p>
      <w:pPr>
        <w:pStyle w:val="10"/>
        <w:spacing w:before="0" w:beforeAutospacing="0" w:after="0" w:afterAutospacing="0" w:line="360" w:lineRule="auto"/>
        <w:rPr>
          <w:rFonts w:hint="eastAsia"/>
        </w:rPr>
      </w:pPr>
      <w:r>
        <w:rPr>
          <w:rFonts w:hint="eastAsia"/>
        </w:rPr>
        <w:t>协助网络管理人员事后分析、追溯。</w:t>
      </w:r>
      <w:r>
        <w:t>有效的保护</w:t>
      </w:r>
      <w:r>
        <w:rPr>
          <w:rFonts w:hint="eastAsia"/>
        </w:rPr>
        <w:t>我院</w:t>
      </w:r>
      <w:r>
        <w:t>网络IT服务资源</w:t>
      </w:r>
      <w:r>
        <w:rPr>
          <w:rFonts w:hAnsi="Tahoma"/>
        </w:rPr>
        <w:t>。</w:t>
      </w:r>
      <w:r>
        <w:rPr>
          <w:rFonts w:hint="eastAsia" w:hAnsi="Tahoma"/>
        </w:rPr>
        <w:t>从而达到</w:t>
      </w:r>
      <w:r>
        <w:t>网络安全防护</w:t>
      </w:r>
      <w:r>
        <w:rPr>
          <w:rFonts w:hint="eastAsia"/>
        </w:rPr>
        <w:t>的目的，通达学院拟采购入侵防御系统一套。</w:t>
      </w:r>
    </w:p>
    <w:p>
      <w:pPr>
        <w:numPr>
          <w:ilvl w:val="0"/>
          <w:numId w:val="3"/>
        </w:numPr>
        <w:spacing w:line="360" w:lineRule="auto"/>
        <w:rPr>
          <w:rFonts w:hint="eastAsia" w:hAnsi="宋体"/>
          <w:b/>
          <w:sz w:val="24"/>
        </w:rPr>
      </w:pPr>
      <w:r>
        <w:rPr>
          <w:rFonts w:hint="eastAsia" w:hAnsi="宋体"/>
          <w:b/>
          <w:sz w:val="24"/>
        </w:rPr>
        <w:t>技术要求</w:t>
      </w:r>
    </w:p>
    <w:tbl>
      <w:tblPr>
        <w:tblStyle w:val="1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227"/>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857" w:type="dxa"/>
            <w:shd w:val="clear" w:color="auto" w:fill="auto"/>
            <w:noWrap w:val="0"/>
            <w:vAlign w:val="top"/>
          </w:tcPr>
          <w:p>
            <w:pPr>
              <w:jc w:val="center"/>
              <w:rPr>
                <w:rFonts w:hint="eastAsia"/>
                <w:b/>
                <w:sz w:val="24"/>
              </w:rPr>
            </w:pPr>
            <w:bookmarkStart w:id="34" w:name="_Hlk529521973"/>
            <w:r>
              <w:rPr>
                <w:rFonts w:hint="eastAsia"/>
                <w:b/>
                <w:sz w:val="24"/>
              </w:rPr>
              <w:t>序号</w:t>
            </w:r>
          </w:p>
        </w:tc>
        <w:tc>
          <w:tcPr>
            <w:tcW w:w="1227" w:type="dxa"/>
            <w:shd w:val="clear" w:color="auto" w:fill="auto"/>
            <w:noWrap w:val="0"/>
            <w:vAlign w:val="top"/>
          </w:tcPr>
          <w:p>
            <w:pPr>
              <w:jc w:val="center"/>
              <w:rPr>
                <w:rFonts w:hint="eastAsia"/>
                <w:b/>
                <w:sz w:val="24"/>
              </w:rPr>
            </w:pPr>
            <w:r>
              <w:rPr>
                <w:rFonts w:hint="eastAsia"/>
                <w:b/>
                <w:sz w:val="24"/>
              </w:rPr>
              <w:t>指标项</w:t>
            </w:r>
          </w:p>
        </w:tc>
        <w:tc>
          <w:tcPr>
            <w:tcW w:w="6847" w:type="dxa"/>
            <w:shd w:val="clear" w:color="auto" w:fill="auto"/>
            <w:noWrap w:val="0"/>
            <w:vAlign w:val="top"/>
          </w:tcPr>
          <w:p>
            <w:pPr>
              <w:jc w:val="center"/>
              <w:rPr>
                <w:b/>
                <w:sz w:val="24"/>
              </w:rPr>
            </w:pPr>
            <w:r>
              <w:rPr>
                <w:rFonts w:hint="eastAsia"/>
                <w:b/>
                <w:sz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857" w:type="dxa"/>
            <w:vMerge w:val="restart"/>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restart"/>
            <w:shd w:val="clear" w:color="auto" w:fill="auto"/>
            <w:noWrap w:val="0"/>
            <w:vAlign w:val="center"/>
          </w:tcPr>
          <w:p>
            <w:pPr>
              <w:spacing w:line="276" w:lineRule="auto"/>
              <w:rPr>
                <w:rFonts w:ascii="宋体" w:hAnsi="宋体" w:cs="Arial"/>
                <w:sz w:val="24"/>
              </w:rPr>
            </w:pPr>
            <w:r>
              <w:rPr>
                <w:rFonts w:hint="eastAsia" w:ascii="宋体" w:hAnsi="宋体" w:cs="Arial"/>
                <w:sz w:val="24"/>
              </w:rPr>
              <w:t>★设备要求</w:t>
            </w:r>
          </w:p>
        </w:tc>
        <w:tc>
          <w:tcPr>
            <w:tcW w:w="6847" w:type="dxa"/>
            <w:shd w:val="clear" w:color="auto" w:fill="auto"/>
            <w:noWrap w:val="0"/>
            <w:vAlign w:val="center"/>
          </w:tcPr>
          <w:p>
            <w:pPr>
              <w:widowControl/>
              <w:spacing w:line="276" w:lineRule="auto"/>
              <w:ind w:left="252"/>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机架式独立IPS硬件设备，全内置封闭式结构，具有完全自主知识产权的专用安全操作系统，稳定可靠，含交流冗余电源模块。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7" w:type="dxa"/>
            <w:vMerge w:val="continue"/>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widowControl/>
              <w:spacing w:line="276" w:lineRule="auto"/>
              <w:ind w:left="252"/>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USB接口</w:t>
            </w:r>
            <w:r>
              <w:rPr>
                <w:rFonts w:hint="eastAsia" w:ascii="宋体" w:hAnsi="宋体" w:cs="宋体"/>
                <w:color w:val="000000"/>
                <w:sz w:val="18"/>
                <w:szCs w:val="18"/>
              </w:rPr>
              <w:sym w:font="Symbol" w:char="F0B3"/>
            </w:r>
            <w:r>
              <w:rPr>
                <w:rFonts w:hint="eastAsia" w:ascii="宋体" w:hAnsi="宋体" w:cs="宋体"/>
                <w:color w:val="000000"/>
                <w:kern w:val="0"/>
                <w:sz w:val="18"/>
                <w:szCs w:val="18"/>
                <w:lang w:bidi="ar"/>
              </w:rPr>
              <w:t>2;</w:t>
            </w:r>
          </w:p>
          <w:p>
            <w:pPr>
              <w:widowControl/>
              <w:spacing w:line="276" w:lineRule="auto"/>
              <w:ind w:left="252"/>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RJ45串口</w:t>
            </w:r>
            <w:r>
              <w:rPr>
                <w:rFonts w:hint="eastAsia" w:ascii="宋体" w:hAnsi="宋体" w:cs="宋体"/>
                <w:color w:val="000000"/>
                <w:sz w:val="18"/>
                <w:szCs w:val="18"/>
              </w:rPr>
              <w:sym w:font="Symbol" w:char="F0B3"/>
            </w:r>
            <w:r>
              <w:rPr>
                <w:rFonts w:hint="eastAsia" w:ascii="宋体" w:hAnsi="宋体" w:cs="宋体"/>
                <w:color w:val="000000"/>
                <w:sz w:val="18"/>
                <w:szCs w:val="18"/>
              </w:rPr>
              <w:t>1;</w:t>
            </w:r>
          </w:p>
          <w:p>
            <w:pPr>
              <w:widowControl/>
              <w:spacing w:line="276" w:lineRule="auto"/>
              <w:ind w:left="252"/>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GE管理口</w:t>
            </w:r>
            <w:r>
              <w:rPr>
                <w:rFonts w:hint="eastAsia" w:ascii="宋体" w:hAnsi="宋体" w:cs="宋体"/>
                <w:color w:val="000000"/>
                <w:sz w:val="18"/>
                <w:szCs w:val="18"/>
              </w:rPr>
              <w:sym w:font="Symbol" w:char="F0B3"/>
            </w:r>
            <w:r>
              <w:rPr>
                <w:rFonts w:hint="eastAsia" w:ascii="宋体" w:hAnsi="宋体" w:cs="宋体"/>
                <w:color w:val="000000"/>
                <w:sz w:val="18"/>
                <w:szCs w:val="18"/>
              </w:rPr>
              <w:t>1</w:t>
            </w:r>
            <w:r>
              <w:rPr>
                <w:rFonts w:hint="eastAsia" w:ascii="宋体" w:hAnsi="宋体" w:cs="宋体"/>
                <w:color w:val="000000"/>
                <w:kern w:val="0"/>
                <w:sz w:val="18"/>
                <w:szCs w:val="18"/>
                <w:lang w:bidi="ar"/>
              </w:rPr>
              <w:t>；</w:t>
            </w:r>
          </w:p>
          <w:p>
            <w:pPr>
              <w:widowControl/>
              <w:spacing w:line="276" w:lineRule="auto"/>
              <w:ind w:left="252"/>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配置≥4个千兆电口（支持2路Bypass）</w:t>
            </w:r>
            <w:r>
              <w:rPr>
                <w:rFonts w:hint="eastAsia" w:ascii="宋体" w:hAnsi="宋体" w:cs="宋体"/>
                <w:color w:val="000000"/>
                <w:sz w:val="18"/>
                <w:szCs w:val="18"/>
              </w:rPr>
              <w:sym w:font="Symbol" w:char="F0B3"/>
            </w:r>
            <w:r>
              <w:rPr>
                <w:rFonts w:hint="eastAsia" w:ascii="宋体" w:hAnsi="宋体" w:cs="宋体"/>
                <w:color w:val="000000"/>
                <w:sz w:val="18"/>
                <w:szCs w:val="18"/>
              </w:rPr>
              <w:t>4</w:t>
            </w:r>
            <w:r>
              <w:rPr>
                <w:rFonts w:hint="eastAsia" w:ascii="宋体" w:hAnsi="宋体" w:cs="宋体"/>
                <w:color w:val="000000"/>
                <w:kern w:val="0"/>
                <w:sz w:val="18"/>
                <w:szCs w:val="18"/>
                <w:lang w:bidi="ar"/>
              </w:rPr>
              <w:t>，</w:t>
            </w:r>
          </w:p>
          <w:p>
            <w:pPr>
              <w:widowControl/>
              <w:spacing w:line="276" w:lineRule="auto"/>
              <w:ind w:left="252"/>
              <w:textAlignment w:val="center"/>
              <w:rPr>
                <w:rFonts w:ascii="宋体" w:hAnsi="宋体" w:cs="宋体"/>
                <w:color w:val="000000"/>
                <w:sz w:val="18"/>
                <w:szCs w:val="18"/>
              </w:rPr>
            </w:pPr>
            <w:r>
              <w:rPr>
                <w:rFonts w:hint="eastAsia" w:ascii="宋体" w:hAnsi="宋体" w:cs="宋体"/>
                <w:color w:val="000000"/>
                <w:kern w:val="0"/>
                <w:sz w:val="18"/>
                <w:szCs w:val="18"/>
                <w:lang w:bidi="ar"/>
              </w:rPr>
              <w:t>扩展插槽</w:t>
            </w:r>
            <w:r>
              <w:rPr>
                <w:rFonts w:hint="eastAsia" w:ascii="宋体" w:hAnsi="宋体" w:cs="宋体"/>
                <w:color w:val="000000"/>
                <w:sz w:val="18"/>
                <w:szCs w:val="18"/>
              </w:rPr>
              <w:sym w:font="Symbol" w:char="F0B3"/>
            </w:r>
            <w:r>
              <w:rPr>
                <w:rFonts w:hint="eastAsia" w:ascii="宋体" w:hAnsi="宋体" w:cs="宋体"/>
                <w:color w:val="000000"/>
                <w:sz w:val="18"/>
                <w:szCs w:val="18"/>
              </w:rPr>
              <w:t>1</w:t>
            </w:r>
            <w:r>
              <w:rPr>
                <w:rFonts w:hint="eastAsia" w:ascii="宋体" w:hAnsi="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7" w:type="dxa"/>
            <w:vMerge w:val="continue"/>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widowControl/>
              <w:spacing w:line="276" w:lineRule="auto"/>
              <w:ind w:left="252"/>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网络吞吐量</w:t>
            </w:r>
            <w:r>
              <w:rPr>
                <w:rFonts w:hint="eastAsia" w:ascii="宋体" w:hAnsi="宋体" w:cs="宋体"/>
                <w:color w:val="000000"/>
                <w:sz w:val="18"/>
                <w:szCs w:val="18"/>
              </w:rPr>
              <w:sym w:font="Symbol" w:char="F0B3"/>
            </w:r>
            <w:r>
              <w:rPr>
                <w:rFonts w:hint="eastAsia" w:ascii="宋体" w:hAnsi="宋体" w:cs="宋体"/>
                <w:color w:val="000000"/>
                <w:sz w:val="18"/>
                <w:szCs w:val="18"/>
              </w:rPr>
              <w:t>1</w:t>
            </w:r>
            <w:r>
              <w:rPr>
                <w:rFonts w:hint="eastAsia" w:ascii="宋体" w:hAnsi="宋体" w:cs="宋体"/>
                <w:color w:val="000000"/>
                <w:kern w:val="0"/>
                <w:sz w:val="18"/>
                <w:szCs w:val="18"/>
                <w:lang w:bidi="ar"/>
              </w:rPr>
              <w:t>4Gbps；</w:t>
            </w:r>
          </w:p>
          <w:p>
            <w:pPr>
              <w:widowControl/>
              <w:spacing w:line="276" w:lineRule="auto"/>
              <w:ind w:left="252"/>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应用层吞吐量</w:t>
            </w:r>
            <w:r>
              <w:rPr>
                <w:rFonts w:hint="eastAsia" w:ascii="宋体" w:hAnsi="宋体" w:cs="宋体"/>
                <w:color w:val="000000"/>
                <w:sz w:val="18"/>
                <w:szCs w:val="18"/>
              </w:rPr>
              <w:sym w:font="Symbol" w:char="F0B3"/>
            </w:r>
            <w:r>
              <w:rPr>
                <w:rFonts w:hint="eastAsia" w:ascii="宋体" w:hAnsi="宋体" w:cs="宋体"/>
                <w:color w:val="000000"/>
                <w:sz w:val="18"/>
                <w:szCs w:val="18"/>
              </w:rPr>
              <w:t>1</w:t>
            </w:r>
            <w:r>
              <w:rPr>
                <w:rFonts w:hint="eastAsia" w:ascii="宋体" w:hAnsi="宋体" w:cs="宋体"/>
                <w:color w:val="000000"/>
                <w:kern w:val="0"/>
                <w:sz w:val="18"/>
                <w:szCs w:val="18"/>
                <w:lang w:bidi="ar"/>
              </w:rPr>
              <w:t>500Mbps；</w:t>
            </w:r>
          </w:p>
          <w:p>
            <w:pPr>
              <w:widowControl/>
              <w:spacing w:line="276" w:lineRule="auto"/>
              <w:ind w:left="252"/>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最大并发TCP会话</w:t>
            </w:r>
            <w:r>
              <w:rPr>
                <w:rFonts w:hint="eastAsia" w:ascii="宋体" w:hAnsi="宋体" w:cs="宋体"/>
                <w:color w:val="000000"/>
                <w:sz w:val="18"/>
                <w:szCs w:val="18"/>
              </w:rPr>
              <w:sym w:font="Symbol" w:char="F0B3"/>
            </w:r>
            <w:r>
              <w:rPr>
                <w:rFonts w:hint="eastAsia" w:ascii="宋体" w:hAnsi="宋体" w:cs="宋体"/>
                <w:color w:val="000000"/>
                <w:sz w:val="18"/>
                <w:szCs w:val="18"/>
              </w:rPr>
              <w:t>1</w:t>
            </w:r>
            <w:r>
              <w:rPr>
                <w:rFonts w:hint="eastAsia" w:ascii="宋体" w:hAnsi="宋体" w:cs="宋体"/>
                <w:color w:val="000000"/>
                <w:kern w:val="0"/>
                <w:sz w:val="18"/>
                <w:szCs w:val="18"/>
                <w:lang w:bidi="ar"/>
              </w:rPr>
              <w:t>200万；</w:t>
            </w:r>
          </w:p>
          <w:p>
            <w:pPr>
              <w:widowControl/>
              <w:spacing w:line="276" w:lineRule="auto"/>
              <w:ind w:left="252"/>
              <w:textAlignment w:val="center"/>
              <w:rPr>
                <w:rFonts w:ascii="宋体" w:hAnsi="宋体" w:cs="宋体"/>
                <w:color w:val="000000"/>
                <w:sz w:val="18"/>
                <w:szCs w:val="18"/>
              </w:rPr>
            </w:pPr>
            <w:r>
              <w:rPr>
                <w:rFonts w:hint="eastAsia" w:ascii="宋体" w:hAnsi="宋体" w:cs="宋体"/>
                <w:color w:val="000000"/>
                <w:kern w:val="0"/>
                <w:sz w:val="18"/>
                <w:szCs w:val="18"/>
                <w:lang w:bidi="ar"/>
              </w:rPr>
              <w:t>每秒新增TCP会话</w:t>
            </w:r>
            <w:r>
              <w:rPr>
                <w:rFonts w:hint="eastAsia" w:ascii="宋体" w:hAnsi="宋体" w:cs="宋体"/>
                <w:color w:val="000000"/>
                <w:sz w:val="18"/>
                <w:szCs w:val="18"/>
              </w:rPr>
              <w:sym w:font="Symbol" w:char="F0B3"/>
            </w:r>
            <w:r>
              <w:rPr>
                <w:rFonts w:hint="eastAsia" w:ascii="宋体" w:hAnsi="宋体" w:cs="宋体"/>
                <w:color w:val="000000"/>
                <w:sz w:val="18"/>
                <w:szCs w:val="18"/>
              </w:rPr>
              <w:t>1</w:t>
            </w:r>
            <w:r>
              <w:rPr>
                <w:rFonts w:hint="eastAsia" w:ascii="宋体" w:hAnsi="宋体" w:cs="宋体"/>
                <w:color w:val="000000"/>
                <w:kern w:val="0"/>
                <w:sz w:val="18"/>
                <w:szCs w:val="18"/>
                <w:lang w:bidi="ar"/>
              </w:rPr>
              <w:t>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57" w:type="dxa"/>
            <w:vMerge w:val="restart"/>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restart"/>
            <w:shd w:val="clear" w:color="auto" w:fill="auto"/>
            <w:noWrap w:val="0"/>
            <w:vAlign w:val="center"/>
          </w:tcPr>
          <w:p>
            <w:pPr>
              <w:spacing w:line="276" w:lineRule="auto"/>
              <w:rPr>
                <w:rFonts w:ascii="宋体" w:hAnsi="宋体" w:cs="Arial"/>
                <w:sz w:val="24"/>
              </w:rPr>
            </w:pPr>
            <w:r>
              <w:rPr>
                <w:rFonts w:hint="eastAsia" w:ascii="宋体" w:hAnsi="宋体" w:cs="Arial"/>
                <w:sz w:val="24"/>
              </w:rPr>
              <w:t>基础攻击防护</w:t>
            </w:r>
          </w:p>
        </w:tc>
        <w:tc>
          <w:tcPr>
            <w:tcW w:w="6847" w:type="dxa"/>
            <w:shd w:val="clear" w:color="auto" w:fill="auto"/>
            <w:noWrap w:val="0"/>
            <w:vAlign w:val="center"/>
          </w:tcPr>
          <w:p>
            <w:pPr>
              <w:spacing w:line="276" w:lineRule="auto"/>
              <w:ind w:left="252" w:hanging="251" w:hangingChars="140"/>
              <w:rPr>
                <w:rFonts w:ascii="宋体" w:hAnsi="宋体" w:cs="Arial"/>
                <w:sz w:val="18"/>
                <w:szCs w:val="18"/>
              </w:rPr>
            </w:pPr>
            <w:r>
              <w:rPr>
                <w:rFonts w:hint="eastAsia" w:ascii="宋体" w:hAnsi="宋体" w:cs="Arial"/>
                <w:sz w:val="18"/>
                <w:szCs w:val="18"/>
              </w:rPr>
              <w:t>★   提供覆盖广泛的攻击特征库，能够针对5000以上的攻击行为、异常事件，以及网络资源滥用流量，进行检测和防御。系统携带的攻击特征库须获得CVE-Compatible兼容性认证，</w:t>
            </w:r>
            <w:r>
              <w:rPr>
                <w:rFonts w:ascii="宋体" w:hAnsi="宋体" w:cs="Arial"/>
                <w:sz w:val="18"/>
                <w:szCs w:val="18"/>
              </w:rPr>
              <w:t>提供</w:t>
            </w:r>
            <w:r>
              <w:rPr>
                <w:rFonts w:hint="eastAsia" w:ascii="宋体" w:hAnsi="宋体" w:cs="Arial"/>
                <w:sz w:val="18"/>
                <w:szCs w:val="18"/>
              </w:rPr>
              <w:t>界面</w:t>
            </w:r>
            <w:r>
              <w:rPr>
                <w:rFonts w:ascii="宋体" w:hAnsi="宋体" w:cs="Arial"/>
                <w:sz w:val="18"/>
                <w:szCs w:val="18"/>
              </w:rPr>
              <w:t>截图证明</w:t>
            </w:r>
            <w:r>
              <w:rPr>
                <w:rFonts w:hint="eastAsia" w:ascii="宋体" w:hAnsi="宋体" w:cs="宋体"/>
                <w:sz w:val="18"/>
                <w:szCs w:val="18"/>
              </w:rPr>
              <w:t>，并加盖鲜红公章。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57" w:type="dxa"/>
            <w:vMerge w:val="continue"/>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spacing w:line="276" w:lineRule="auto"/>
              <w:ind w:left="252" w:hanging="251" w:hangingChars="140"/>
              <w:rPr>
                <w:rFonts w:ascii="宋体" w:hAnsi="宋体" w:cs="Arial"/>
                <w:sz w:val="18"/>
                <w:szCs w:val="18"/>
              </w:rPr>
            </w:pPr>
            <w:r>
              <w:rPr>
                <w:rFonts w:hint="eastAsia" w:ascii="宋体" w:hAnsi="宋体" w:cs="Arial"/>
                <w:sz w:val="18"/>
                <w:szCs w:val="18"/>
              </w:rPr>
              <w:t>★   提供丰富的响应方式，包括：会话阻断、IP隔离、例外规则等功能，满足用户各种响应需求。针对I</w:t>
            </w:r>
            <w:r>
              <w:rPr>
                <w:rFonts w:ascii="宋体" w:hAnsi="宋体" w:cs="Arial"/>
                <w:sz w:val="18"/>
                <w:szCs w:val="18"/>
              </w:rPr>
              <w:t>P</w:t>
            </w:r>
            <w:r>
              <w:rPr>
                <w:rFonts w:hint="eastAsia" w:ascii="宋体" w:hAnsi="宋体" w:cs="Arial"/>
                <w:sz w:val="18"/>
                <w:szCs w:val="18"/>
              </w:rPr>
              <w:t>隔离需要</w:t>
            </w:r>
            <w:r>
              <w:rPr>
                <w:rFonts w:ascii="宋体" w:hAnsi="宋体" w:cs="Arial"/>
                <w:sz w:val="18"/>
                <w:szCs w:val="18"/>
              </w:rPr>
              <w:t>提供</w:t>
            </w:r>
            <w:r>
              <w:rPr>
                <w:rFonts w:hint="eastAsia" w:ascii="宋体" w:hAnsi="宋体" w:cs="Arial"/>
                <w:sz w:val="18"/>
                <w:szCs w:val="18"/>
              </w:rPr>
              <w:t>界面</w:t>
            </w:r>
            <w:r>
              <w:rPr>
                <w:rFonts w:ascii="宋体" w:hAnsi="宋体" w:cs="Arial"/>
                <w:sz w:val="18"/>
                <w:szCs w:val="18"/>
              </w:rPr>
              <w:t>截图证明</w:t>
            </w:r>
            <w:r>
              <w:rPr>
                <w:rFonts w:hint="eastAsia" w:ascii="宋体" w:hAnsi="宋体" w:cs="宋体"/>
                <w:sz w:val="18"/>
                <w:szCs w:val="18"/>
              </w:rPr>
              <w:t>，并加盖鲜红公章。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vMerge w:val="continue"/>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spacing w:line="276" w:lineRule="auto"/>
              <w:ind w:left="252"/>
              <w:rPr>
                <w:rFonts w:hint="eastAsia" w:ascii="宋体" w:hAnsi="宋体" w:cs="Arial"/>
                <w:sz w:val="18"/>
                <w:szCs w:val="18"/>
              </w:rPr>
            </w:pPr>
            <w:r>
              <w:rPr>
                <w:rFonts w:hint="eastAsia" w:ascii="宋体" w:hAnsi="宋体" w:cs="Arial"/>
                <w:sz w:val="18"/>
                <w:szCs w:val="18"/>
              </w:rPr>
              <w:t>支持基于</w:t>
            </w:r>
            <w:r>
              <w:rPr>
                <w:rFonts w:ascii="宋体" w:hAnsi="宋体" w:cs="Arial"/>
                <w:sz w:val="18"/>
                <w:szCs w:val="18"/>
              </w:rPr>
              <w:t>SCADA等工控</w:t>
            </w:r>
            <w:r>
              <w:rPr>
                <w:rFonts w:hint="eastAsia" w:ascii="宋体" w:hAnsi="宋体" w:cs="Arial"/>
                <w:sz w:val="18"/>
                <w:szCs w:val="18"/>
              </w:rPr>
              <w:t>协议的相关漏洞攻击检测，</w:t>
            </w:r>
            <w:r>
              <w:rPr>
                <w:rFonts w:ascii="宋体" w:hAnsi="宋体" w:cs="Arial"/>
                <w:sz w:val="18"/>
                <w:szCs w:val="18"/>
              </w:rPr>
              <w:t>提供</w:t>
            </w:r>
            <w:r>
              <w:rPr>
                <w:rFonts w:hint="eastAsia" w:ascii="宋体" w:hAnsi="宋体" w:cs="Arial"/>
                <w:sz w:val="18"/>
                <w:szCs w:val="18"/>
              </w:rPr>
              <w:t>界面</w:t>
            </w:r>
            <w:r>
              <w:rPr>
                <w:rFonts w:ascii="宋体" w:hAnsi="宋体" w:cs="Arial"/>
                <w:sz w:val="18"/>
                <w:szCs w:val="18"/>
              </w:rPr>
              <w:t>截图证明</w:t>
            </w:r>
            <w:r>
              <w:rPr>
                <w:rFonts w:hint="eastAsia" w:ascii="宋体" w:hAnsi="宋体"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vMerge w:val="restart"/>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restart"/>
            <w:shd w:val="clear" w:color="auto" w:fill="auto"/>
            <w:noWrap w:val="0"/>
            <w:vAlign w:val="center"/>
          </w:tcPr>
          <w:p>
            <w:pPr>
              <w:spacing w:line="276" w:lineRule="auto"/>
              <w:rPr>
                <w:rFonts w:ascii="宋体" w:hAnsi="宋体" w:cs="Arial"/>
                <w:sz w:val="24"/>
              </w:rPr>
            </w:pPr>
            <w:r>
              <w:rPr>
                <w:rFonts w:hint="eastAsia" w:ascii="宋体" w:hAnsi="宋体" w:cs="Arial"/>
                <w:sz w:val="24"/>
              </w:rPr>
              <w:t>数据泄露防护</w:t>
            </w:r>
          </w:p>
        </w:tc>
        <w:tc>
          <w:tcPr>
            <w:tcW w:w="6847" w:type="dxa"/>
            <w:shd w:val="clear" w:color="auto" w:fill="auto"/>
            <w:noWrap w:val="0"/>
            <w:vAlign w:val="center"/>
          </w:tcPr>
          <w:p>
            <w:pPr>
              <w:spacing w:line="276" w:lineRule="auto"/>
              <w:ind w:left="252" w:hanging="251" w:hangingChars="140"/>
              <w:rPr>
                <w:rFonts w:ascii="宋体" w:hAnsi="宋体" w:cs="Arial"/>
                <w:sz w:val="18"/>
                <w:szCs w:val="18"/>
              </w:rPr>
            </w:pPr>
            <w:r>
              <w:rPr>
                <w:rFonts w:hint="eastAsia" w:ascii="宋体" w:hAnsi="宋体" w:cs="Arial"/>
                <w:sz w:val="18"/>
                <w:szCs w:val="18"/>
              </w:rPr>
              <w:t>★   提供敏感数据外发的防护功能，能够识别通过自身的敏感数据信息（身份证号、银行卡、手机号等）。</w:t>
            </w:r>
            <w:r>
              <w:rPr>
                <w:rFonts w:ascii="宋体" w:hAnsi="宋体" w:cs="Arial"/>
                <w:sz w:val="18"/>
                <w:szCs w:val="18"/>
              </w:rPr>
              <w:t>提供</w:t>
            </w:r>
            <w:r>
              <w:rPr>
                <w:rFonts w:hint="eastAsia" w:ascii="宋体" w:hAnsi="宋体" w:cs="Arial"/>
                <w:sz w:val="18"/>
                <w:szCs w:val="18"/>
              </w:rPr>
              <w:t>界面</w:t>
            </w:r>
            <w:r>
              <w:rPr>
                <w:rFonts w:ascii="宋体" w:hAnsi="宋体" w:cs="Arial"/>
                <w:sz w:val="18"/>
                <w:szCs w:val="18"/>
              </w:rPr>
              <w:t>截图证明</w:t>
            </w:r>
            <w:r>
              <w:rPr>
                <w:rFonts w:hint="eastAsia" w:ascii="宋体" w:hAnsi="宋体" w:cs="宋体"/>
                <w:sz w:val="18"/>
                <w:szCs w:val="18"/>
              </w:rPr>
              <w:t>，并加盖鲜红公章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vMerge w:val="continue"/>
            <w:shd w:val="clear" w:color="auto" w:fill="auto"/>
            <w:noWrap w:val="0"/>
            <w:vAlign w:val="center"/>
          </w:tcPr>
          <w:p>
            <w:pPr>
              <w:pStyle w:val="19"/>
              <w:widowControl/>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numPr>
                <w:ilvl w:val="0"/>
                <w:numId w:val="5"/>
              </w:numPr>
              <w:spacing w:line="276" w:lineRule="auto"/>
              <w:rPr>
                <w:rFonts w:hint="eastAsia" w:ascii="宋体" w:hAnsi="宋体"/>
                <w:color w:val="000000"/>
                <w:sz w:val="18"/>
                <w:szCs w:val="18"/>
              </w:rPr>
            </w:pPr>
            <w:r>
              <w:rPr>
                <w:rFonts w:hint="eastAsia" w:ascii="宋体" w:hAnsi="宋体"/>
                <w:color w:val="000000"/>
                <w:sz w:val="18"/>
                <w:szCs w:val="18"/>
                <w:shd w:val="clear" w:color="auto" w:fill="FFFFFF"/>
              </w:rPr>
              <w:t>提供关键文件保护功能，能够识别、阻断通过自身的关键文件，防止</w:t>
            </w:r>
            <w:r>
              <w:rPr>
                <w:rFonts w:hint="eastAsia" w:ascii="宋体" w:hAnsi="宋体"/>
                <w:color w:val="000000"/>
                <w:sz w:val="18"/>
                <w:szCs w:val="18"/>
              </w:rPr>
              <w:t>非法外传行为。能识别的关键文件类型应包含至少以下几类：</w:t>
            </w:r>
          </w:p>
          <w:p>
            <w:pPr>
              <w:spacing w:line="276" w:lineRule="auto"/>
              <w:ind w:firstLine="990" w:firstLineChars="550"/>
              <w:rPr>
                <w:rFonts w:hint="eastAsia" w:ascii="宋体" w:hAnsi="宋体"/>
                <w:color w:val="000000"/>
                <w:sz w:val="18"/>
                <w:szCs w:val="18"/>
              </w:rPr>
            </w:pPr>
            <w:r>
              <w:rPr>
                <w:rFonts w:hint="eastAsia" w:ascii="宋体" w:hAnsi="宋体"/>
                <w:color w:val="000000"/>
                <w:sz w:val="18"/>
                <w:szCs w:val="18"/>
              </w:rPr>
              <w:t>文档类如Excel、PDF、PowerPoint、Word等，</w:t>
            </w:r>
          </w:p>
          <w:p>
            <w:pPr>
              <w:spacing w:line="276" w:lineRule="auto"/>
              <w:ind w:firstLine="990" w:firstLineChars="550"/>
              <w:rPr>
                <w:rFonts w:hint="eastAsia" w:ascii="宋体" w:hAnsi="宋体"/>
                <w:color w:val="000000"/>
                <w:sz w:val="18"/>
                <w:szCs w:val="18"/>
              </w:rPr>
            </w:pPr>
            <w:r>
              <w:rPr>
                <w:rFonts w:hint="eastAsia" w:ascii="宋体" w:hAnsi="宋体"/>
                <w:color w:val="000000"/>
                <w:sz w:val="18"/>
                <w:szCs w:val="18"/>
              </w:rPr>
              <w:t>压缩文件类如CAB、GZIP、RAR、ZIP、JAR等，</w:t>
            </w:r>
          </w:p>
          <w:p>
            <w:pPr>
              <w:spacing w:line="276" w:lineRule="auto"/>
              <w:ind w:firstLine="990" w:firstLineChars="550"/>
              <w:rPr>
                <w:rFonts w:hint="eastAsia" w:ascii="宋体" w:hAnsi="宋体"/>
                <w:color w:val="000000"/>
                <w:sz w:val="18"/>
                <w:szCs w:val="18"/>
              </w:rPr>
            </w:pPr>
            <w:r>
              <w:rPr>
                <w:rFonts w:hint="eastAsia" w:ascii="宋体" w:hAnsi="宋体"/>
                <w:color w:val="000000"/>
                <w:sz w:val="18"/>
                <w:szCs w:val="18"/>
              </w:rPr>
              <w:t>图像类如BMP、GIF、JPEG等，</w:t>
            </w:r>
          </w:p>
          <w:p>
            <w:pPr>
              <w:spacing w:line="276" w:lineRule="auto"/>
              <w:ind w:firstLine="990" w:firstLineChars="550"/>
              <w:rPr>
                <w:rFonts w:hint="eastAsia" w:ascii="宋体" w:hAnsi="宋体"/>
                <w:color w:val="000000"/>
                <w:sz w:val="18"/>
                <w:szCs w:val="18"/>
              </w:rPr>
            </w:pPr>
            <w:r>
              <w:rPr>
                <w:rFonts w:hint="eastAsia" w:ascii="宋体" w:hAnsi="宋体"/>
                <w:color w:val="000000"/>
                <w:sz w:val="18"/>
                <w:szCs w:val="18"/>
              </w:rPr>
              <w:t>音频视频类如MP3、AVI、MKV、MP4、MPEG、WMV等，</w:t>
            </w:r>
          </w:p>
          <w:p>
            <w:pPr>
              <w:spacing w:line="276" w:lineRule="auto"/>
              <w:ind w:firstLine="990" w:firstLineChars="550"/>
              <w:rPr>
                <w:rFonts w:hint="eastAsia" w:ascii="宋体" w:hAnsi="宋体"/>
                <w:color w:val="000000"/>
                <w:sz w:val="18"/>
                <w:szCs w:val="18"/>
              </w:rPr>
            </w:pPr>
            <w:r>
              <w:rPr>
                <w:rFonts w:hint="eastAsia" w:ascii="宋体" w:hAnsi="宋体"/>
                <w:color w:val="000000"/>
                <w:sz w:val="18"/>
                <w:szCs w:val="18"/>
              </w:rPr>
              <w:t>脚本类如BAT、CMD、WSF等，</w:t>
            </w:r>
          </w:p>
          <w:p>
            <w:pPr>
              <w:spacing w:line="276" w:lineRule="auto"/>
              <w:ind w:firstLine="990" w:firstLineChars="550"/>
              <w:rPr>
                <w:rFonts w:hint="eastAsia" w:ascii="宋体" w:hAnsi="宋体"/>
                <w:color w:val="000000"/>
                <w:sz w:val="18"/>
                <w:szCs w:val="18"/>
              </w:rPr>
            </w:pPr>
            <w:r>
              <w:rPr>
                <w:rFonts w:hint="eastAsia" w:ascii="宋体" w:hAnsi="宋体"/>
                <w:color w:val="000000"/>
                <w:sz w:val="18"/>
                <w:szCs w:val="18"/>
              </w:rPr>
              <w:t>程序类如APK、DLL、EXE、JAVA_CLASS等。</w:t>
            </w:r>
          </w:p>
          <w:p>
            <w:pPr>
              <w:spacing w:line="276" w:lineRule="auto"/>
              <w:ind w:firstLine="270" w:firstLineChars="150"/>
              <w:rPr>
                <w:rFonts w:ascii="宋体" w:hAnsi="宋体" w:cs="Arial"/>
                <w:sz w:val="18"/>
                <w:szCs w:val="18"/>
              </w:rPr>
            </w:pPr>
            <w:r>
              <w:rPr>
                <w:rFonts w:ascii="宋体" w:hAnsi="宋体" w:cs="Arial"/>
                <w:sz w:val="18"/>
                <w:szCs w:val="18"/>
              </w:rPr>
              <w:t>提供</w:t>
            </w:r>
            <w:r>
              <w:rPr>
                <w:rFonts w:hint="eastAsia" w:ascii="宋体" w:hAnsi="宋体" w:cs="Arial"/>
                <w:sz w:val="18"/>
                <w:szCs w:val="18"/>
              </w:rPr>
              <w:t>界面</w:t>
            </w:r>
            <w:r>
              <w:rPr>
                <w:rFonts w:ascii="宋体" w:hAnsi="宋体" w:cs="Arial"/>
                <w:sz w:val="18"/>
                <w:szCs w:val="18"/>
              </w:rPr>
              <w:t>截图证明</w:t>
            </w:r>
            <w:r>
              <w:rPr>
                <w:rFonts w:hint="eastAsia" w:ascii="宋体" w:hAnsi="宋体" w:cs="宋体"/>
                <w:sz w:val="18"/>
                <w:szCs w:val="18"/>
              </w:rPr>
              <w:t>，并加盖鲜红公章。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vMerge w:val="continue"/>
            <w:shd w:val="clear" w:color="auto" w:fill="auto"/>
            <w:noWrap w:val="0"/>
            <w:vAlign w:val="center"/>
          </w:tcPr>
          <w:p>
            <w:pPr>
              <w:pStyle w:val="19"/>
              <w:widowControl/>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spacing w:line="276" w:lineRule="auto"/>
              <w:ind w:left="252"/>
              <w:rPr>
                <w:rFonts w:ascii="宋体" w:hAnsi="宋体" w:cs="Arial"/>
                <w:sz w:val="18"/>
                <w:szCs w:val="18"/>
              </w:rPr>
            </w:pPr>
            <w:r>
              <w:rPr>
                <w:rFonts w:hint="eastAsia" w:ascii="宋体" w:hAnsi="宋体"/>
                <w:color w:val="000000"/>
                <w:sz w:val="18"/>
                <w:szCs w:val="18"/>
                <w:shd w:val="clear" w:color="auto" w:fill="FFFFFF"/>
              </w:rPr>
              <w:t>提供服务器异常告警功能，可以自学习服务器正常工作行为；检测处服务器非法外联行为</w:t>
            </w: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7" w:type="dxa"/>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shd w:val="clear" w:color="auto" w:fill="auto"/>
            <w:noWrap w:val="0"/>
            <w:vAlign w:val="center"/>
          </w:tcPr>
          <w:p>
            <w:pPr>
              <w:spacing w:line="276" w:lineRule="auto"/>
              <w:rPr>
                <w:rFonts w:ascii="宋体" w:hAnsi="宋体" w:cs="Arial"/>
                <w:sz w:val="24"/>
              </w:rPr>
            </w:pPr>
            <w:r>
              <w:rPr>
                <w:rFonts w:hint="eastAsia" w:ascii="宋体" w:hAnsi="宋体" w:cs="Arial"/>
                <w:sz w:val="24"/>
              </w:rPr>
              <w:t>资产识别</w:t>
            </w:r>
          </w:p>
        </w:tc>
        <w:tc>
          <w:tcPr>
            <w:tcW w:w="6847" w:type="dxa"/>
            <w:shd w:val="clear" w:color="auto" w:fill="auto"/>
            <w:noWrap w:val="0"/>
            <w:vAlign w:val="center"/>
          </w:tcPr>
          <w:p>
            <w:pPr>
              <w:spacing w:line="276" w:lineRule="auto"/>
              <w:ind w:left="252" w:hanging="251" w:hangingChars="140"/>
              <w:rPr>
                <w:rFonts w:ascii="宋体" w:hAnsi="宋体" w:cs="Arial"/>
                <w:sz w:val="18"/>
                <w:szCs w:val="18"/>
              </w:rPr>
            </w:pPr>
            <w:r>
              <w:rPr>
                <w:rFonts w:hint="eastAsia" w:ascii="宋体" w:hAnsi="宋体" w:cs="Arial"/>
                <w:sz w:val="18"/>
                <w:szCs w:val="18"/>
              </w:rPr>
              <w:t>★   提供基于资产的保护，具备资产识别功能，包括操作系统、浏览器、应用类型等客户资产相关信息的识别能力。提供界面截图</w:t>
            </w:r>
            <w:r>
              <w:rPr>
                <w:rFonts w:hint="eastAsia" w:ascii="宋体" w:hAnsi="宋体" w:cs="宋体"/>
                <w:sz w:val="18"/>
                <w:szCs w:val="18"/>
              </w:rPr>
              <w:t>，并加盖鲜红公章</w:t>
            </w:r>
            <w:r>
              <w:rPr>
                <w:rFonts w:hint="eastAsia" w:ascii="宋体" w:hAnsi="宋体"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shd w:val="clear" w:color="auto" w:fill="auto"/>
            <w:noWrap w:val="0"/>
            <w:vAlign w:val="center"/>
          </w:tcPr>
          <w:p>
            <w:pPr>
              <w:spacing w:line="276" w:lineRule="auto"/>
              <w:rPr>
                <w:rFonts w:ascii="宋体" w:hAnsi="宋体" w:cs="Arial"/>
                <w:sz w:val="24"/>
              </w:rPr>
            </w:pPr>
            <w:r>
              <w:rPr>
                <w:rFonts w:hint="eastAsia" w:ascii="宋体" w:hAnsi="宋体" w:cs="Arial"/>
                <w:sz w:val="24"/>
              </w:rPr>
              <w:t>手机A</w:t>
            </w:r>
            <w:r>
              <w:rPr>
                <w:rFonts w:ascii="宋体" w:hAnsi="宋体" w:cs="Arial"/>
                <w:sz w:val="24"/>
              </w:rPr>
              <w:t>PP</w:t>
            </w:r>
          </w:p>
        </w:tc>
        <w:tc>
          <w:tcPr>
            <w:tcW w:w="6847" w:type="dxa"/>
            <w:shd w:val="clear" w:color="auto" w:fill="auto"/>
            <w:noWrap w:val="0"/>
            <w:vAlign w:val="center"/>
          </w:tcPr>
          <w:p>
            <w:pPr>
              <w:spacing w:line="276" w:lineRule="auto"/>
              <w:ind w:left="252" w:hanging="251" w:hangingChars="140"/>
              <w:rPr>
                <w:rFonts w:ascii="宋体" w:hAnsi="宋体" w:cs="Arial"/>
                <w:sz w:val="18"/>
                <w:szCs w:val="18"/>
              </w:rPr>
            </w:pPr>
            <w:r>
              <w:rPr>
                <w:rFonts w:hint="eastAsia" w:ascii="宋体" w:hAnsi="宋体" w:cs="Arial"/>
                <w:sz w:val="18"/>
                <w:szCs w:val="18"/>
              </w:rPr>
              <w:t>★   支持通过手机APP实时获得设备运行状态，接收安全咨询，查看攻击事件和统计信息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vMerge w:val="restart"/>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restart"/>
            <w:shd w:val="clear" w:color="auto" w:fill="auto"/>
            <w:noWrap w:val="0"/>
            <w:vAlign w:val="center"/>
          </w:tcPr>
          <w:p>
            <w:pPr>
              <w:spacing w:line="276" w:lineRule="auto"/>
              <w:rPr>
                <w:rFonts w:ascii="宋体" w:hAnsi="宋体" w:cs="Arial"/>
                <w:sz w:val="24"/>
              </w:rPr>
            </w:pPr>
            <w:r>
              <w:rPr>
                <w:rFonts w:hint="eastAsia" w:ascii="宋体" w:hAnsi="宋体" w:cs="Arial"/>
                <w:sz w:val="24"/>
              </w:rPr>
              <w:t>管理能力</w:t>
            </w:r>
          </w:p>
        </w:tc>
        <w:tc>
          <w:tcPr>
            <w:tcW w:w="6847" w:type="dxa"/>
            <w:shd w:val="clear" w:color="auto" w:fill="auto"/>
            <w:noWrap w:val="0"/>
            <w:vAlign w:val="center"/>
          </w:tcPr>
          <w:p>
            <w:pPr>
              <w:spacing w:line="276" w:lineRule="auto"/>
              <w:ind w:left="252" w:hanging="251" w:hangingChars="140"/>
              <w:rPr>
                <w:rFonts w:ascii="宋体" w:hAnsi="宋体" w:cs="Arial"/>
                <w:sz w:val="18"/>
                <w:szCs w:val="18"/>
              </w:rPr>
            </w:pPr>
            <w:r>
              <w:rPr>
                <w:rFonts w:hint="eastAsia" w:ascii="宋体" w:hAnsi="宋体" w:cs="Arial"/>
                <w:sz w:val="18"/>
                <w:szCs w:val="18"/>
              </w:rPr>
              <w:t xml:space="preserve">★   </w:t>
            </w:r>
            <w:r>
              <w:rPr>
                <w:rFonts w:ascii="宋体" w:hAnsi="宋体" w:cs="Arial"/>
                <w:sz w:val="18"/>
                <w:szCs w:val="18"/>
              </w:rPr>
              <w:t>支持</w:t>
            </w:r>
            <w:r>
              <w:rPr>
                <w:rFonts w:hint="eastAsia" w:ascii="宋体" w:hAnsi="宋体" w:cs="Arial"/>
                <w:sz w:val="18"/>
                <w:szCs w:val="18"/>
              </w:rPr>
              <w:t>“</w:t>
            </w:r>
            <w:r>
              <w:rPr>
                <w:rFonts w:ascii="宋体" w:hAnsi="宋体" w:cs="Arial"/>
                <w:sz w:val="18"/>
                <w:szCs w:val="18"/>
              </w:rPr>
              <w:t>一键巡检</w:t>
            </w:r>
            <w:r>
              <w:rPr>
                <w:rFonts w:hint="eastAsia" w:ascii="宋体" w:hAnsi="宋体" w:cs="Arial"/>
                <w:sz w:val="18"/>
                <w:szCs w:val="18"/>
              </w:rPr>
              <w:t>”</w:t>
            </w:r>
            <w:r>
              <w:rPr>
                <w:rFonts w:ascii="宋体" w:hAnsi="宋体" w:cs="Arial"/>
                <w:sz w:val="18"/>
                <w:szCs w:val="18"/>
              </w:rPr>
              <w:t>功能，</w:t>
            </w:r>
            <w:r>
              <w:rPr>
                <w:rFonts w:hint="eastAsia" w:ascii="宋体" w:hAnsi="宋体" w:cs="Arial"/>
                <w:sz w:val="18"/>
                <w:szCs w:val="18"/>
              </w:rPr>
              <w:t>可自动分析，生成图表相结合的安全报告。提供界面截图</w:t>
            </w:r>
            <w:r>
              <w:rPr>
                <w:rFonts w:hint="eastAsia" w:ascii="宋体" w:hAnsi="宋体" w:cs="宋体"/>
                <w:sz w:val="18"/>
                <w:szCs w:val="18"/>
              </w:rPr>
              <w:t>，并加盖鲜红公章</w:t>
            </w:r>
            <w:r>
              <w:rPr>
                <w:rFonts w:hint="eastAsia" w:ascii="宋体" w:hAnsi="宋体"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vMerge w:val="continue"/>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spacing w:line="276" w:lineRule="auto"/>
              <w:ind w:left="251" w:leftChars="34" w:hanging="180" w:hangingChars="100"/>
              <w:rPr>
                <w:rFonts w:ascii="宋体" w:hAnsi="宋体" w:cs="Arial"/>
                <w:sz w:val="18"/>
                <w:szCs w:val="18"/>
              </w:rPr>
            </w:pPr>
            <w:r>
              <w:rPr>
                <w:rFonts w:hint="eastAsia" w:ascii="宋体" w:hAnsi="宋体" w:cs="Arial"/>
                <w:sz w:val="18"/>
                <w:szCs w:val="18"/>
              </w:rPr>
              <w:t>★    可实现对误报事件进行一键关联反馈功能，反馈给厂家，用以确认分析。</w:t>
            </w:r>
            <w:r>
              <w:rPr>
                <w:rFonts w:ascii="宋体" w:hAnsi="宋体" w:cs="Arial"/>
                <w:sz w:val="18"/>
                <w:szCs w:val="18"/>
              </w:rPr>
              <w:t>提供</w:t>
            </w:r>
            <w:r>
              <w:rPr>
                <w:rFonts w:hint="eastAsia" w:ascii="宋体" w:hAnsi="宋体" w:cs="Arial"/>
                <w:sz w:val="18"/>
                <w:szCs w:val="18"/>
              </w:rPr>
              <w:t>界面</w:t>
            </w:r>
            <w:r>
              <w:rPr>
                <w:rFonts w:ascii="宋体" w:hAnsi="宋体" w:cs="Arial"/>
                <w:sz w:val="18"/>
                <w:szCs w:val="18"/>
              </w:rPr>
              <w:t>截图证明</w:t>
            </w:r>
            <w:r>
              <w:rPr>
                <w:rFonts w:hint="eastAsia" w:ascii="宋体" w:hAnsi="宋体" w:cs="宋体"/>
                <w:sz w:val="18"/>
                <w:szCs w:val="18"/>
              </w:rPr>
              <w:t>，并加盖鲜红公章。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vMerge w:val="continue"/>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spacing w:line="276" w:lineRule="auto"/>
              <w:ind w:left="252"/>
              <w:rPr>
                <w:rFonts w:hint="eastAsia" w:ascii="宋体" w:hAnsi="宋体" w:cs="Arial"/>
                <w:sz w:val="18"/>
                <w:szCs w:val="18"/>
              </w:rPr>
            </w:pPr>
            <w:r>
              <w:rPr>
                <w:rFonts w:hint="eastAsia" w:ascii="宋体" w:hAnsi="宋体" w:cs="Arial"/>
                <w:sz w:val="18"/>
                <w:szCs w:val="18"/>
              </w:rPr>
              <w:t>可监控设备CPU温度，主板温度，风扇的转速的异常状态。</w:t>
            </w:r>
            <w:r>
              <w:rPr>
                <w:rFonts w:ascii="宋体" w:hAnsi="宋体" w:cs="Arial"/>
                <w:sz w:val="18"/>
                <w:szCs w:val="18"/>
              </w:rPr>
              <w:t>提供</w:t>
            </w:r>
            <w:r>
              <w:rPr>
                <w:rFonts w:hint="eastAsia" w:ascii="宋体" w:hAnsi="宋体" w:cs="Arial"/>
                <w:sz w:val="18"/>
                <w:szCs w:val="18"/>
              </w:rPr>
              <w:t>界面</w:t>
            </w:r>
            <w:r>
              <w:rPr>
                <w:rFonts w:ascii="宋体" w:hAnsi="宋体" w:cs="Arial"/>
                <w:sz w:val="18"/>
                <w:szCs w:val="18"/>
              </w:rPr>
              <w:t>截图证明</w:t>
            </w:r>
            <w:r>
              <w:rPr>
                <w:rFonts w:hint="eastAsia" w:ascii="宋体" w:hAnsi="宋体"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7" w:type="dxa"/>
            <w:vMerge w:val="continue"/>
            <w:shd w:val="clear" w:color="auto" w:fill="auto"/>
            <w:noWrap w:val="0"/>
            <w:vAlign w:val="center"/>
          </w:tcPr>
          <w:p>
            <w:pPr>
              <w:pStyle w:val="19"/>
              <w:widowControl/>
              <w:numPr>
                <w:ilvl w:val="0"/>
                <w:numId w:val="4"/>
              </w:numPr>
              <w:spacing w:line="276" w:lineRule="auto"/>
              <w:ind w:firstLineChars="0"/>
              <w:jc w:val="center"/>
              <w:rPr>
                <w:rFonts w:ascii="宋体" w:hAnsi="宋体" w:cs="Arial"/>
                <w:sz w:val="24"/>
                <w:szCs w:val="24"/>
              </w:rPr>
            </w:pPr>
          </w:p>
        </w:tc>
        <w:tc>
          <w:tcPr>
            <w:tcW w:w="1227" w:type="dxa"/>
            <w:vMerge w:val="continue"/>
            <w:shd w:val="clear" w:color="auto" w:fill="auto"/>
            <w:noWrap w:val="0"/>
            <w:vAlign w:val="center"/>
          </w:tcPr>
          <w:p>
            <w:pPr>
              <w:spacing w:line="276" w:lineRule="auto"/>
              <w:rPr>
                <w:rFonts w:ascii="宋体" w:hAnsi="宋体" w:cs="Arial"/>
                <w:sz w:val="24"/>
              </w:rPr>
            </w:pPr>
          </w:p>
        </w:tc>
        <w:tc>
          <w:tcPr>
            <w:tcW w:w="6847" w:type="dxa"/>
            <w:shd w:val="clear" w:color="auto" w:fill="auto"/>
            <w:noWrap w:val="0"/>
            <w:vAlign w:val="center"/>
          </w:tcPr>
          <w:p>
            <w:pPr>
              <w:spacing w:line="276" w:lineRule="auto"/>
              <w:ind w:left="252"/>
              <w:rPr>
                <w:rFonts w:ascii="宋体" w:hAnsi="宋体" w:cs="Arial"/>
                <w:sz w:val="18"/>
                <w:szCs w:val="18"/>
              </w:rPr>
            </w:pPr>
            <w:r>
              <w:rPr>
                <w:rFonts w:hint="eastAsia" w:ascii="宋体" w:hAnsi="宋体" w:cs="Arial"/>
                <w:sz w:val="18"/>
                <w:szCs w:val="18"/>
              </w:rPr>
              <w:t>智能识别内网的IP对应的邮件用户，ftp用户，即时通讯用户，网站登录用户，数据库登录用户，远程登录用户，安全日志能与用户身份关联。</w:t>
            </w:r>
            <w:r>
              <w:rPr>
                <w:rFonts w:ascii="宋体" w:hAnsi="宋体" w:cs="Arial"/>
                <w:sz w:val="18"/>
                <w:szCs w:val="18"/>
              </w:rPr>
              <w:t>提供</w:t>
            </w:r>
            <w:r>
              <w:rPr>
                <w:rFonts w:hint="eastAsia" w:ascii="宋体" w:hAnsi="宋体" w:cs="Arial"/>
                <w:sz w:val="18"/>
                <w:szCs w:val="18"/>
              </w:rPr>
              <w:t>界面</w:t>
            </w:r>
            <w:r>
              <w:rPr>
                <w:rFonts w:ascii="宋体" w:hAnsi="宋体" w:cs="Arial"/>
                <w:sz w:val="18"/>
                <w:szCs w:val="18"/>
              </w:rPr>
              <w:t>截图证明</w:t>
            </w:r>
          </w:p>
        </w:tc>
      </w:tr>
      <w:bookmarkEnd w:id="34"/>
    </w:tbl>
    <w:p>
      <w:pPr>
        <w:widowControl/>
        <w:tabs>
          <w:tab w:val="left" w:pos="1620"/>
        </w:tabs>
        <w:spacing w:line="360" w:lineRule="auto"/>
        <w:ind w:left="540" w:hanging="540" w:hangingChars="225"/>
        <w:jc w:val="left"/>
        <w:rPr>
          <w:rFonts w:hint="eastAsia"/>
          <w:kern w:val="0"/>
          <w:sz w:val="24"/>
        </w:rPr>
      </w:pPr>
    </w:p>
    <w:p>
      <w:pPr>
        <w:numPr>
          <w:ilvl w:val="0"/>
          <w:numId w:val="3"/>
        </w:numPr>
        <w:spacing w:line="360" w:lineRule="auto"/>
        <w:rPr>
          <w:rFonts w:hint="eastAsia" w:hAnsi="宋体"/>
          <w:b/>
          <w:bCs/>
          <w:sz w:val="24"/>
        </w:rPr>
      </w:pPr>
      <w:r>
        <w:rPr>
          <w:kern w:val="0"/>
          <w:sz w:val="2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0</wp:posOffset>
                </wp:positionV>
                <wp:extent cx="342900" cy="297180"/>
                <wp:effectExtent l="0" t="0" r="0" b="7620"/>
                <wp:wrapNone/>
                <wp:docPr id="2" name="文本框 2"/>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a:noFill/>
                        </a:ln>
                      </wps:spPr>
                      <wps:txbx>
                        <w:txbxContent>
                          <w:p>
                            <w:pPr>
                              <w:rPr>
                                <w:sz w:val="24"/>
                              </w:rPr>
                            </w:pPr>
                            <w:r>
                              <w:rPr>
                                <w:rFonts w:hint="eastAsia" w:ascii="宋体" w:hAnsi="宋体" w:cs="宋体"/>
                                <w:kern w:val="0"/>
                                <w:sz w:val="24"/>
                              </w:rPr>
                              <w:t>★</w:t>
                            </w:r>
                          </w:p>
                        </w:txbxContent>
                      </wps:txbx>
                      <wps:bodyPr upright="1"/>
                    </wps:wsp>
                  </a:graphicData>
                </a:graphic>
              </wp:anchor>
            </w:drawing>
          </mc:Choice>
          <mc:Fallback>
            <w:pict>
              <v:shape id="_x0000_s1026" o:spid="_x0000_s1026" o:spt="202" type="#_x0000_t202" style="position:absolute;left:0pt;margin-left:-27pt;margin-top:0pt;height:23.4pt;width:27pt;z-index:251659264;mso-width-relative:page;mso-height-relative:page;" fillcolor="#FFFFFF" filled="t" stroked="f" coordsize="21600,21600" o:gfxdata="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3pl3h0wAAAAQBAAAPAAAAAAAA&#10;AAEAIAAAACIAAABkcnMvZG93bnJldi54bWxQSwECFAAUAAAACACHTuJAtFk5BKUBAAAoAwAADgAA&#10;AAAAAAABACAAAAAiAQAAZHJzL2Uyb0RvYy54bWxQSwUGAAAAAAYABgBZAQAAOQUAAAAA&#10;">
                <v:fill on="t" focussize="0,0"/>
                <v:stroke on="f"/>
                <v:imagedata o:title=""/>
                <o:lock v:ext="edit" aspectratio="f"/>
                <v:textbox>
                  <w:txbxContent>
                    <w:p>
                      <w:pPr>
                        <w:rPr>
                          <w:sz w:val="24"/>
                        </w:rPr>
                      </w:pPr>
                      <w:r>
                        <w:rPr>
                          <w:rFonts w:hint="eastAsia" w:ascii="宋体" w:hAnsi="宋体" w:cs="宋体"/>
                          <w:kern w:val="0"/>
                          <w:sz w:val="24"/>
                        </w:rPr>
                        <w:t>★</w:t>
                      </w:r>
                    </w:p>
                  </w:txbxContent>
                </v:textbox>
              </v:shape>
            </w:pict>
          </mc:Fallback>
        </mc:AlternateContent>
      </w:r>
      <w:r>
        <w:rPr>
          <w:rFonts w:hint="eastAsia" w:ascii="宋体" w:hAnsi="宋体" w:cs="宋体"/>
          <w:b/>
          <w:kern w:val="0"/>
          <w:sz w:val="24"/>
        </w:rPr>
        <w:t>资质和授权</w:t>
      </w:r>
      <w:r>
        <w:rPr>
          <w:rFonts w:hint="eastAsia" w:hAnsi="宋体"/>
          <w:b/>
          <w:bCs/>
          <w:sz w:val="24"/>
        </w:rPr>
        <w:t>要求</w:t>
      </w:r>
      <w:r>
        <w:rPr>
          <w:sz w:val="24"/>
        </w:rPr>
        <w:t>(</w:t>
      </w:r>
      <w:r>
        <w:rPr>
          <w:rFonts w:hAnsi="宋体"/>
          <w:kern w:val="0"/>
          <w:sz w:val="24"/>
        </w:rPr>
        <w:t>提供截图并加盖原厂公章</w:t>
      </w:r>
      <w:r>
        <w:rPr>
          <w:sz w:val="24"/>
        </w:rPr>
        <w:t>)</w:t>
      </w:r>
    </w:p>
    <w:p>
      <w:pPr>
        <w:spacing w:line="360" w:lineRule="auto"/>
        <w:rPr>
          <w:kern w:val="0"/>
          <w:sz w:val="24"/>
        </w:rPr>
      </w:pPr>
      <w:r>
        <w:rPr>
          <w:bCs/>
          <w:sz w:val="24"/>
        </w:rPr>
        <w:t>3.1</w:t>
      </w:r>
      <w:r>
        <w:rPr>
          <w:rFonts w:hint="eastAsia"/>
          <w:bCs/>
          <w:sz w:val="24"/>
        </w:rPr>
        <w:t xml:space="preserve"> </w:t>
      </w:r>
      <w:r>
        <w:rPr>
          <w:rFonts w:hAnsi="宋体"/>
          <w:kern w:val="0"/>
          <w:sz w:val="24"/>
        </w:rPr>
        <w:t>产品资质</w:t>
      </w:r>
    </w:p>
    <w:p>
      <w:pPr>
        <w:widowControl/>
        <w:spacing w:line="360" w:lineRule="auto"/>
        <w:ind w:left="540" w:hanging="540" w:hangingChars="225"/>
        <w:jc w:val="left"/>
        <w:rPr>
          <w:rFonts w:hint="eastAsia" w:hAnsi="宋体"/>
          <w:kern w:val="0"/>
          <w:sz w:val="24"/>
        </w:rPr>
      </w:pPr>
      <w:r>
        <w:rPr>
          <w:rFonts w:hint="eastAsia" w:hAnsi="宋体"/>
          <w:kern w:val="0"/>
          <w:sz w:val="24"/>
        </w:rPr>
        <w:t xml:space="preserve">3.1.1 </w:t>
      </w:r>
      <w:r>
        <w:rPr>
          <w:rFonts w:hAnsi="宋体"/>
          <w:kern w:val="0"/>
          <w:sz w:val="24"/>
        </w:rPr>
        <w:t>产品必须具备公安部颁发的《计算机信息系统安全专用产品销售许可证》</w:t>
      </w:r>
      <w:r>
        <w:rPr>
          <w:rFonts w:hint="eastAsia" w:hAnsi="宋体"/>
          <w:kern w:val="0"/>
          <w:sz w:val="24"/>
        </w:rPr>
        <w:t>，</w:t>
      </w:r>
      <w:r>
        <w:rPr>
          <w:sz w:val="24"/>
        </w:rPr>
        <w:t>级别</w:t>
      </w:r>
      <w:r>
        <w:rPr>
          <w:rFonts w:hint="eastAsia"/>
          <w:sz w:val="24"/>
        </w:rPr>
        <w:t>须达到三级</w:t>
      </w:r>
      <w:r>
        <w:rPr>
          <w:rFonts w:hint="eastAsia" w:hAnsi="宋体"/>
          <w:kern w:val="0"/>
          <w:sz w:val="24"/>
        </w:rPr>
        <w:t>；</w:t>
      </w:r>
    </w:p>
    <w:p>
      <w:pPr>
        <w:widowControl/>
        <w:spacing w:line="360" w:lineRule="auto"/>
        <w:ind w:left="540" w:hanging="540" w:hangingChars="225"/>
        <w:jc w:val="left"/>
        <w:rPr>
          <w:rFonts w:hint="eastAsia"/>
          <w:kern w:val="0"/>
          <w:sz w:val="24"/>
        </w:rPr>
      </w:pPr>
      <w:r>
        <w:rPr>
          <w:rFonts w:hint="eastAsia" w:hAnsi="宋体"/>
          <w:kern w:val="0"/>
          <w:sz w:val="24"/>
        </w:rPr>
        <w:t>3.1.2 产品</w:t>
      </w:r>
      <w:r>
        <w:rPr>
          <w:rFonts w:hint="eastAsia" w:ascii="宋体" w:hAnsi="宋体" w:cs="宋体"/>
          <w:kern w:val="0"/>
          <w:sz w:val="24"/>
        </w:rPr>
        <w:t>为近三年国内市场占有率前三名，提供权威第三方调查机构（</w:t>
      </w:r>
      <w:r>
        <w:rPr>
          <w:rFonts w:ascii="宋体" w:hAnsi="宋体" w:cs="宋体"/>
          <w:kern w:val="0"/>
          <w:sz w:val="24"/>
        </w:rPr>
        <w:t>IDC</w:t>
      </w:r>
      <w:r>
        <w:rPr>
          <w:rFonts w:hint="eastAsia" w:ascii="宋体" w:hAnsi="宋体" w:cs="宋体"/>
          <w:kern w:val="0"/>
          <w:sz w:val="24"/>
        </w:rPr>
        <w:t>）的证明；</w:t>
      </w:r>
    </w:p>
    <w:p>
      <w:pPr>
        <w:widowControl/>
        <w:spacing w:line="360" w:lineRule="auto"/>
        <w:ind w:left="540" w:hanging="540" w:hangingChars="225"/>
        <w:jc w:val="left"/>
        <w:rPr>
          <w:rFonts w:hint="eastAsia"/>
          <w:kern w:val="0"/>
          <w:sz w:val="24"/>
        </w:rPr>
      </w:pPr>
      <w:r>
        <w:rPr>
          <w:kern w:val="0"/>
          <w:sz w:val="24"/>
        </w:rPr>
        <w:t xml:space="preserve">3.1.3 </w:t>
      </w:r>
      <w:r>
        <w:rPr>
          <w:rFonts w:hint="eastAsia"/>
          <w:kern w:val="0"/>
          <w:sz w:val="24"/>
        </w:rPr>
        <w:t>产品必须具备中国信息安全测评中心颁发的《国家信息安全测评信息技术产品安全测评证书》, 级别须达到EAL3+；</w:t>
      </w:r>
    </w:p>
    <w:p>
      <w:pPr>
        <w:widowControl/>
        <w:spacing w:line="360" w:lineRule="auto"/>
        <w:ind w:left="540" w:hanging="540" w:hangingChars="225"/>
        <w:jc w:val="left"/>
        <w:rPr>
          <w:kern w:val="0"/>
          <w:sz w:val="24"/>
        </w:rPr>
      </w:pPr>
      <w:r>
        <w:rPr>
          <w:kern w:val="0"/>
          <w:sz w:val="24"/>
        </w:rPr>
        <w:t>3.1.4 产品必须</w:t>
      </w:r>
      <w:r>
        <w:rPr>
          <w:rFonts w:hint="eastAsia" w:hAnsi="宋体"/>
          <w:sz w:val="24"/>
        </w:rPr>
        <w:t>具备</w:t>
      </w:r>
      <w:r>
        <w:rPr>
          <w:rFonts w:hAnsi="宋体"/>
          <w:sz w:val="24"/>
        </w:rPr>
        <w:t>中国信息安全认证中心颁发的符合</w:t>
      </w:r>
      <w:r>
        <w:rPr>
          <w:sz w:val="24"/>
        </w:rPr>
        <w:t xml:space="preserve">GB/T 28451-2012 </w:t>
      </w:r>
      <w:r>
        <w:rPr>
          <w:rFonts w:hAnsi="宋体"/>
          <w:sz w:val="24"/>
        </w:rPr>
        <w:t>《信息安全技术</w:t>
      </w:r>
      <w:r>
        <w:rPr>
          <w:rFonts w:hint="eastAsia" w:hAnsi="宋体"/>
          <w:sz w:val="24"/>
        </w:rPr>
        <w:t>网络型入侵防御</w:t>
      </w:r>
      <w:r>
        <w:rPr>
          <w:rFonts w:hAnsi="宋体"/>
          <w:sz w:val="24"/>
        </w:rPr>
        <w:t>产品技术要求》</w:t>
      </w:r>
      <w:r>
        <w:rPr>
          <w:rFonts w:hint="eastAsia" w:hAnsi="宋体"/>
          <w:sz w:val="24"/>
        </w:rPr>
        <w:t>第三</w:t>
      </w:r>
      <w:r>
        <w:rPr>
          <w:rFonts w:hAnsi="宋体"/>
          <w:sz w:val="24"/>
        </w:rPr>
        <w:t>级认证《中国国家信息安全产品认证证书》</w:t>
      </w:r>
      <w:r>
        <w:rPr>
          <w:rFonts w:hint="eastAsia" w:hAnsi="宋体"/>
          <w:sz w:val="24"/>
        </w:rPr>
        <w:t>；</w:t>
      </w:r>
    </w:p>
    <w:p>
      <w:pPr>
        <w:widowControl/>
        <w:spacing w:line="360" w:lineRule="auto"/>
        <w:ind w:left="540" w:hanging="540" w:hangingChars="225"/>
        <w:jc w:val="left"/>
        <w:rPr>
          <w:rFonts w:hint="eastAsia"/>
          <w:kern w:val="0"/>
          <w:sz w:val="24"/>
        </w:rPr>
      </w:pPr>
      <w:r>
        <w:rPr>
          <w:rFonts w:hint="eastAsia"/>
          <w:kern w:val="0"/>
          <w:sz w:val="24"/>
        </w:rPr>
        <w:t>3</w:t>
      </w:r>
      <w:r>
        <w:rPr>
          <w:kern w:val="0"/>
          <w:sz w:val="24"/>
        </w:rPr>
        <w:t xml:space="preserve">.1.5 </w:t>
      </w:r>
      <w:r>
        <w:rPr>
          <w:rFonts w:hint="eastAsia"/>
          <w:kern w:val="0"/>
          <w:sz w:val="24"/>
        </w:rPr>
        <w:t>产品必须具备中国信息安全测评中心颁发的《国家信息安全漏洞库兼容性资质证书》；</w:t>
      </w:r>
    </w:p>
    <w:p>
      <w:pPr>
        <w:widowControl/>
        <w:spacing w:line="360" w:lineRule="auto"/>
        <w:ind w:left="540" w:hanging="540" w:hangingChars="225"/>
        <w:jc w:val="left"/>
        <w:rPr>
          <w:rFonts w:hint="eastAsia"/>
          <w:kern w:val="0"/>
          <w:sz w:val="24"/>
        </w:rPr>
      </w:pPr>
      <w:r>
        <w:rPr>
          <w:kern w:val="0"/>
          <w:sz w:val="24"/>
        </w:rPr>
        <w:t xml:space="preserve">3.1.6 </w:t>
      </w:r>
      <w:r>
        <w:rPr>
          <w:rFonts w:hint="eastAsia"/>
          <w:kern w:val="0"/>
          <w:sz w:val="24"/>
        </w:rPr>
        <w:t>产品应通过国际权威机构NSS Labs的IPS专项测试，获得Approved认证，并被认定为“Recommended”级别产品。</w:t>
      </w:r>
    </w:p>
    <w:p>
      <w:pPr>
        <w:numPr>
          <w:ilvl w:val="1"/>
          <w:numId w:val="6"/>
        </w:numPr>
        <w:spacing w:line="360" w:lineRule="auto"/>
        <w:rPr>
          <w:kern w:val="0"/>
          <w:sz w:val="24"/>
        </w:rPr>
      </w:pPr>
      <w:r>
        <w:rPr>
          <w:rFonts w:hint="eastAsia"/>
          <w:kern w:val="0"/>
          <w:sz w:val="24"/>
        </w:rPr>
        <w:t xml:space="preserve"> </w:t>
      </w:r>
      <w:r>
        <w:rPr>
          <w:rFonts w:hAnsi="宋体"/>
          <w:kern w:val="0"/>
          <w:sz w:val="24"/>
        </w:rPr>
        <w:t>产品厂家资质</w:t>
      </w:r>
      <w:r>
        <w:rPr>
          <w:sz w:val="24"/>
        </w:rPr>
        <w:t>(</w:t>
      </w:r>
      <w:r>
        <w:rPr>
          <w:rFonts w:hAnsi="宋体"/>
          <w:kern w:val="0"/>
          <w:sz w:val="24"/>
        </w:rPr>
        <w:t>提供截图并加盖原厂公章</w:t>
      </w:r>
      <w:r>
        <w:rPr>
          <w:sz w:val="24"/>
        </w:rPr>
        <w:t>)</w:t>
      </w:r>
    </w:p>
    <w:p>
      <w:pPr>
        <w:widowControl/>
        <w:spacing w:line="360" w:lineRule="auto"/>
        <w:ind w:left="540" w:hanging="540" w:hangingChars="225"/>
        <w:jc w:val="left"/>
        <w:rPr>
          <w:rFonts w:hint="eastAsia"/>
          <w:kern w:val="0"/>
          <w:sz w:val="24"/>
        </w:rPr>
      </w:pPr>
      <w:r>
        <w:rPr>
          <w:kern w:val="0"/>
          <w:sz w:val="24"/>
        </w:rPr>
        <w:t>3.2.1</w:t>
      </w:r>
      <w:r>
        <w:rPr>
          <w:rFonts w:hAnsi="宋体"/>
          <w:kern w:val="0"/>
          <w:sz w:val="24"/>
        </w:rPr>
        <w:t>厂家具备国家计算机网络应急技术处理协调中心颁发的《网络安全应急服务支撑单位证书（国家级）》</w:t>
      </w:r>
      <w:r>
        <w:rPr>
          <w:rFonts w:hint="eastAsia" w:hAnsi="宋体"/>
          <w:kern w:val="0"/>
          <w:sz w:val="24"/>
        </w:rPr>
        <w:t>；</w:t>
      </w:r>
    </w:p>
    <w:p>
      <w:pPr>
        <w:widowControl/>
        <w:spacing w:line="360" w:lineRule="auto"/>
        <w:ind w:left="540" w:hanging="540" w:hangingChars="225"/>
        <w:jc w:val="left"/>
        <w:rPr>
          <w:rFonts w:hint="eastAsia"/>
          <w:kern w:val="0"/>
          <w:sz w:val="24"/>
        </w:rPr>
      </w:pPr>
      <w:r>
        <w:rPr>
          <w:kern w:val="0"/>
          <w:sz w:val="24"/>
        </w:rPr>
        <w:t xml:space="preserve">3.2.2 </w:t>
      </w:r>
      <w:r>
        <w:rPr>
          <w:rFonts w:hint="eastAsia"/>
          <w:kern w:val="0"/>
          <w:sz w:val="24"/>
        </w:rPr>
        <w:t>厂家具备</w:t>
      </w:r>
      <w:r>
        <w:rPr>
          <w:rFonts w:hint="eastAsia" w:hAnsi="宋体"/>
          <w:kern w:val="0"/>
          <w:sz w:val="24"/>
        </w:rPr>
        <w:t>符合GB/T 28001-2011标准的《职业健康安全管理体系认证证书》；</w:t>
      </w:r>
    </w:p>
    <w:p>
      <w:pPr>
        <w:widowControl/>
        <w:spacing w:line="360" w:lineRule="auto"/>
        <w:ind w:left="540" w:hanging="540" w:hangingChars="225"/>
        <w:jc w:val="left"/>
        <w:rPr>
          <w:rFonts w:hint="eastAsia"/>
          <w:kern w:val="0"/>
          <w:sz w:val="24"/>
        </w:rPr>
      </w:pPr>
      <w:r>
        <w:rPr>
          <w:rFonts w:hint="eastAsia"/>
          <w:kern w:val="0"/>
          <w:sz w:val="24"/>
        </w:rPr>
        <w:t>3.2.3</w:t>
      </w:r>
      <w:r>
        <w:rPr>
          <w:kern w:val="0"/>
          <w:sz w:val="24"/>
        </w:rPr>
        <w:t xml:space="preserve"> </w:t>
      </w:r>
      <w:r>
        <w:rPr>
          <w:rFonts w:hint="eastAsia"/>
          <w:kern w:val="0"/>
          <w:sz w:val="24"/>
        </w:rPr>
        <w:t>厂家具备足够的信息安全服务技术实力及安全服务保障能力，获得中国网络安全审查技术与认证中心颁发的信息系统安全运维一级服务资质证书。</w:t>
      </w:r>
    </w:p>
    <w:p>
      <w:pPr>
        <w:widowControl/>
        <w:spacing w:line="360" w:lineRule="auto"/>
        <w:ind w:left="540" w:hanging="540" w:hangingChars="225"/>
        <w:jc w:val="left"/>
        <w:rPr>
          <w:kern w:val="0"/>
          <w:sz w:val="24"/>
        </w:rPr>
      </w:pPr>
    </w:p>
    <w:p>
      <w:pPr>
        <w:numPr>
          <w:ilvl w:val="0"/>
          <w:numId w:val="3"/>
        </w:numPr>
        <w:spacing w:line="360" w:lineRule="auto"/>
        <w:rPr>
          <w:rFonts w:hint="eastAsia" w:ascii="宋体" w:hAnsi="宋体"/>
          <w:b/>
          <w:bCs/>
          <w:sz w:val="24"/>
        </w:rPr>
      </w:pPr>
      <w:r>
        <w:rPr>
          <w:kern w:val="0"/>
          <w:sz w:val="24"/>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0</wp:posOffset>
                </wp:positionV>
                <wp:extent cx="342900" cy="297180"/>
                <wp:effectExtent l="0" t="0" r="0" b="7620"/>
                <wp:wrapNone/>
                <wp:docPr id="3" name="文本框 3"/>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a:noFill/>
                        </a:ln>
                      </wps:spPr>
                      <wps:txbx>
                        <w:txbxContent>
                          <w:p>
                            <w:pPr>
                              <w:rPr>
                                <w:sz w:val="24"/>
                              </w:rPr>
                            </w:pPr>
                            <w:r>
                              <w:rPr>
                                <w:rFonts w:hint="eastAsia" w:ascii="宋体" w:hAnsi="宋体" w:cs="宋体"/>
                                <w:kern w:val="0"/>
                                <w:sz w:val="24"/>
                              </w:rPr>
                              <w:t>★</w:t>
                            </w:r>
                          </w:p>
                        </w:txbxContent>
                      </wps:txbx>
                      <wps:bodyPr upright="1"/>
                    </wps:wsp>
                  </a:graphicData>
                </a:graphic>
              </wp:anchor>
            </w:drawing>
          </mc:Choice>
          <mc:Fallback>
            <w:pict>
              <v:shape id="_x0000_s1026" o:spid="_x0000_s1026" o:spt="202" type="#_x0000_t202" style="position:absolute;left:0pt;margin-left:-36pt;margin-top:0pt;height:23.4pt;width:27pt;z-index:251660288;mso-width-relative:page;mso-height-relative:page;" fillcolor="#FFFFFF" filled="t" stroked="f" coordsize="21600,21600" o:gfxdata="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kuoxnWAAAABwEAAA8A&#10;AAAAAAAAAQAgAAAAIgAAAGRycy9kb3ducmV2LnhtbFBLAQIUABQAAAAIAIdO4kAeZYEIpwEAACgD&#10;AAAOAAAAAAAAAAEAIAAAACUBAABkcnMvZTJvRG9jLnhtbFBLBQYAAAAABgAGAFkBAAA+BQAAAAA=&#10;">
                <v:fill on="t" focussize="0,0"/>
                <v:stroke on="f"/>
                <v:imagedata o:title=""/>
                <o:lock v:ext="edit" aspectratio="f"/>
                <v:textbox>
                  <w:txbxContent>
                    <w:p>
                      <w:pPr>
                        <w:rPr>
                          <w:sz w:val="24"/>
                        </w:rPr>
                      </w:pPr>
                      <w:r>
                        <w:rPr>
                          <w:rFonts w:hint="eastAsia" w:ascii="宋体" w:hAnsi="宋体" w:cs="宋体"/>
                          <w:kern w:val="0"/>
                          <w:sz w:val="24"/>
                        </w:rPr>
                        <w:t>★</w:t>
                      </w:r>
                    </w:p>
                  </w:txbxContent>
                </v:textbox>
              </v:shape>
            </w:pict>
          </mc:Fallback>
        </mc:AlternateContent>
      </w:r>
      <w:r>
        <w:rPr>
          <w:rFonts w:hint="eastAsia" w:ascii="宋体" w:hAnsi="宋体"/>
          <w:b/>
          <w:bCs/>
          <w:sz w:val="24"/>
        </w:rPr>
        <w:t>安装调试服务</w:t>
      </w:r>
    </w:p>
    <w:p>
      <w:pPr>
        <w:numPr>
          <w:ilvl w:val="1"/>
          <w:numId w:val="7"/>
        </w:numPr>
        <w:spacing w:line="360" w:lineRule="auto"/>
        <w:rPr>
          <w:rFonts w:hint="eastAsia"/>
          <w:kern w:val="0"/>
          <w:sz w:val="24"/>
        </w:rPr>
      </w:pPr>
      <w:r>
        <w:rPr>
          <w:rFonts w:hint="eastAsia"/>
          <w:kern w:val="0"/>
          <w:sz w:val="24"/>
        </w:rPr>
        <w:t xml:space="preserve"> </w:t>
      </w:r>
      <w:r>
        <w:rPr>
          <w:kern w:val="0"/>
          <w:sz w:val="24"/>
        </w:rPr>
        <w:t>原厂工程师上门安装服务。</w:t>
      </w:r>
    </w:p>
    <w:p>
      <w:pPr>
        <w:numPr>
          <w:ilvl w:val="1"/>
          <w:numId w:val="7"/>
        </w:numPr>
        <w:tabs>
          <w:tab w:val="clear" w:pos="360"/>
        </w:tabs>
        <w:spacing w:line="360" w:lineRule="auto"/>
        <w:rPr>
          <w:rFonts w:hint="eastAsia" w:ascii="宋体" w:hAnsi="宋体"/>
          <w:bCs/>
          <w:sz w:val="24"/>
        </w:rPr>
      </w:pPr>
      <w:r>
        <w:rPr>
          <w:rFonts w:hint="eastAsia"/>
          <w:kern w:val="0"/>
          <w:sz w:val="24"/>
        </w:rPr>
        <w:t xml:space="preserve"> 提供不低于</w:t>
      </w:r>
      <w:r>
        <w:rPr>
          <w:rFonts w:hint="eastAsia" w:ascii="宋体" w:hAnsi="宋体"/>
          <w:kern w:val="0"/>
          <w:sz w:val="24"/>
        </w:rPr>
        <w:t>3年白银服务包-硬件产品，包含产品系统升级授权、产品保修服务、远程支持服务。</w:t>
      </w:r>
    </w:p>
    <w:p>
      <w:pPr>
        <w:numPr>
          <w:ilvl w:val="1"/>
          <w:numId w:val="7"/>
        </w:numPr>
        <w:tabs>
          <w:tab w:val="clear" w:pos="360"/>
        </w:tabs>
        <w:spacing w:line="360" w:lineRule="auto"/>
        <w:rPr>
          <w:rFonts w:hint="eastAsia" w:ascii="宋体" w:hAnsi="宋体"/>
          <w:bCs/>
          <w:sz w:val="24"/>
        </w:rPr>
      </w:pPr>
      <w:r>
        <w:rPr>
          <w:rFonts w:hint="eastAsia"/>
          <w:kern w:val="0"/>
          <w:sz w:val="24"/>
        </w:rPr>
        <w:t xml:space="preserve"> 提供</w:t>
      </w:r>
      <w:r>
        <w:rPr>
          <w:rFonts w:hint="eastAsia" w:ascii="宋体" w:hAnsi="宋体"/>
          <w:kern w:val="0"/>
          <w:sz w:val="24"/>
        </w:rPr>
        <w:t>现场产品使用培训</w:t>
      </w:r>
    </w:p>
    <w:p>
      <w:pPr>
        <w:numPr>
          <w:ilvl w:val="1"/>
          <w:numId w:val="7"/>
        </w:numPr>
        <w:tabs>
          <w:tab w:val="clear" w:pos="360"/>
        </w:tabs>
        <w:spacing w:line="360" w:lineRule="auto"/>
        <w:rPr>
          <w:rFonts w:hint="eastAsia" w:ascii="宋体" w:hAnsi="宋体"/>
          <w:bCs/>
          <w:sz w:val="24"/>
        </w:rPr>
      </w:pPr>
      <w:r>
        <w:rPr>
          <w:rFonts w:hint="eastAsia"/>
          <w:kern w:val="0"/>
          <w:sz w:val="24"/>
        </w:rPr>
        <w:t xml:space="preserve"> </w:t>
      </w:r>
      <w:r>
        <w:rPr>
          <w:kern w:val="0"/>
          <w:sz w:val="24"/>
        </w:rPr>
        <w:t>三年原厂商服务。</w:t>
      </w:r>
    </w:p>
    <w:p>
      <w:pPr>
        <w:spacing w:line="360" w:lineRule="auto"/>
        <w:rPr>
          <w:rFonts w:hint="eastAsia"/>
          <w:kern w:val="0"/>
          <w:sz w:val="24"/>
        </w:rPr>
      </w:pPr>
    </w:p>
    <w:p>
      <w:pPr>
        <w:pStyle w:val="10"/>
        <w:spacing w:before="0" w:beforeAutospacing="0" w:after="0" w:afterAutospacing="0"/>
        <w:rPr>
          <w:rFonts w:hint="eastAsia" w:ascii="微软雅黑" w:hAnsi="微软雅黑" w:eastAsia="微软雅黑"/>
          <w:color w:val="686868"/>
          <w:sz w:val="18"/>
          <w:szCs w:val="18"/>
        </w:rPr>
      </w:pPr>
      <w: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0</wp:posOffset>
                </wp:positionV>
                <wp:extent cx="342900" cy="297180"/>
                <wp:effectExtent l="0" t="0" r="0" b="7620"/>
                <wp:wrapNone/>
                <wp:docPr id="4" name="文本框 4"/>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a:noFill/>
                        </a:ln>
                      </wps:spPr>
                      <wps:txbx>
                        <w:txbxContent>
                          <w:p>
                            <w:pPr>
                              <w:rPr>
                                <w:szCs w:val="21"/>
                              </w:rPr>
                            </w:pPr>
                            <w:r>
                              <w:rPr>
                                <w:rFonts w:hint="eastAsia" w:ascii="宋体" w:hAnsi="宋体" w:cs="宋体"/>
                                <w:kern w:val="0"/>
                                <w:szCs w:val="21"/>
                              </w:rPr>
                              <w:t>★</w:t>
                            </w:r>
                          </w:p>
                        </w:txbxContent>
                      </wps:txbx>
                      <wps:bodyPr upright="1"/>
                    </wps:wsp>
                  </a:graphicData>
                </a:graphic>
              </wp:anchor>
            </w:drawing>
          </mc:Choice>
          <mc:Fallback>
            <w:pict>
              <v:shape id="_x0000_s1026" o:spid="_x0000_s1026" o:spt="202" type="#_x0000_t202" style="position:absolute;left:0pt;margin-left:27pt;margin-top:0pt;height:23.4pt;width:27pt;z-index:251658240;mso-width-relative:page;mso-height-relative:page;" fillcolor="#FFFFFF" filled="t" stroked="f" coordsize="21600,21600" o:gfxdata="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LaDnNUAAAAGAQAADwAA&#10;AAAAAAABACAAAAAiAAAAZHJzL2Rvd25yZXYueG1sUEsBAhQAFAAAAAgAh07iQEjSqS+nAQAAKAMA&#10;AA4AAAAAAAAAAQAgAAAAJAEAAGRycy9lMm9Eb2MueG1sUEsFBgAAAAAGAAYAWQEAAD0FAAAAAA==&#10;">
                <v:fill on="t" focussize="0,0"/>
                <v:stroke on="f"/>
                <v:imagedata o:title=""/>
                <o:lock v:ext="edit" aspectratio="f"/>
                <v:textbox>
                  <w:txbxContent>
                    <w:p>
                      <w:pPr>
                        <w:rPr>
                          <w:szCs w:val="21"/>
                        </w:rPr>
                      </w:pPr>
                      <w:r>
                        <w:rPr>
                          <w:rFonts w:hint="eastAsia" w:ascii="宋体" w:hAnsi="宋体" w:cs="宋体"/>
                          <w:kern w:val="0"/>
                          <w:szCs w:val="21"/>
                        </w:rPr>
                        <w:t>★</w:t>
                      </w:r>
                    </w:p>
                  </w:txbxContent>
                </v:textbox>
              </v:shape>
            </w:pict>
          </mc:Fallback>
        </mc:AlternateContent>
      </w:r>
      <w:r>
        <w:rPr>
          <w:rFonts w:hint="eastAsia"/>
          <w:sz w:val="18"/>
          <w:szCs w:val="18"/>
        </w:rPr>
        <w:t>注：“      ”为关键指标必须满足</w:t>
      </w:r>
    </w:p>
    <w:p>
      <w:pPr>
        <w:spacing w:line="360" w:lineRule="auto"/>
        <w:rPr>
          <w:rFonts w:hint="eastAsia" w:ascii="宋体" w:hAnsi="宋体"/>
          <w:bCs/>
          <w:sz w:val="24"/>
        </w:rPr>
      </w:pPr>
    </w:p>
    <w:p>
      <w:pPr>
        <w:numPr>
          <w:ilvl w:val="0"/>
          <w:numId w:val="3"/>
        </w:numPr>
        <w:spacing w:line="360" w:lineRule="auto"/>
        <w:rPr>
          <w:rFonts w:hint="eastAsia" w:ascii="宋体" w:hAnsi="宋体"/>
          <w:b/>
          <w:bCs/>
          <w:sz w:val="24"/>
        </w:rPr>
      </w:pPr>
      <w:r>
        <w:rPr>
          <w:rFonts w:hint="eastAsia" w:ascii="宋体" w:hAnsi="宋体"/>
          <w:b/>
          <w:color w:val="000000"/>
          <w:sz w:val="24"/>
        </w:rPr>
        <w:t>项目清单</w:t>
      </w:r>
    </w:p>
    <w:tbl>
      <w:tblPr>
        <w:tblStyle w:val="11"/>
        <w:tblW w:w="0" w:type="auto"/>
        <w:jc w:val="center"/>
        <w:tblLayout w:type="fixed"/>
        <w:tblCellMar>
          <w:top w:w="0" w:type="dxa"/>
          <w:left w:w="30" w:type="dxa"/>
          <w:bottom w:w="0" w:type="dxa"/>
          <w:right w:w="30" w:type="dxa"/>
        </w:tblCellMar>
      </w:tblPr>
      <w:tblGrid>
        <w:gridCol w:w="471"/>
        <w:gridCol w:w="1877"/>
        <w:gridCol w:w="2340"/>
        <w:gridCol w:w="642"/>
        <w:gridCol w:w="960"/>
      </w:tblGrid>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序号</w:t>
            </w:r>
          </w:p>
        </w:tc>
        <w:tc>
          <w:tcPr>
            <w:tcW w:w="18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名称</w:t>
            </w:r>
          </w:p>
        </w:tc>
        <w:tc>
          <w:tcPr>
            <w:tcW w:w="234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技术要求</w:t>
            </w: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数量</w:t>
            </w:r>
          </w:p>
        </w:tc>
        <w:tc>
          <w:tcPr>
            <w:tcW w:w="9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b/>
                <w:color w:val="000000"/>
                <w:kern w:val="0"/>
                <w:sz w:val="20"/>
                <w:szCs w:val="20"/>
              </w:rPr>
            </w:pPr>
            <w:r>
              <w:rPr>
                <w:rFonts w:hint="eastAsia" w:ascii="宋体" w:hAnsi="Arial" w:cs="宋体"/>
                <w:b/>
                <w:color w:val="000000"/>
                <w:kern w:val="0"/>
                <w:sz w:val="20"/>
                <w:szCs w:val="20"/>
              </w:rPr>
              <w:t>备注</w:t>
            </w:r>
          </w:p>
        </w:tc>
      </w:tr>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1</w:t>
            </w:r>
          </w:p>
        </w:tc>
        <w:tc>
          <w:tcPr>
            <w:tcW w:w="18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hAnsi="宋体" w:cs="宋体"/>
                <w:color w:val="000000"/>
                <w:kern w:val="0"/>
                <w:sz w:val="18"/>
                <w:szCs w:val="18"/>
              </w:rPr>
            </w:pPr>
            <w:r>
              <w:rPr>
                <w:rFonts w:hint="eastAsia" w:ascii="宋体" w:hAnsi="宋体" w:cs="宋体"/>
                <w:color w:val="000000"/>
                <w:sz w:val="18"/>
                <w:szCs w:val="18"/>
              </w:rPr>
              <w:t>入侵防御系统</w:t>
            </w:r>
          </w:p>
        </w:tc>
        <w:tc>
          <w:tcPr>
            <w:tcW w:w="234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宋体" w:hAnsi="Arial" w:cs="宋体"/>
                <w:color w:val="000000"/>
                <w:kern w:val="0"/>
                <w:sz w:val="18"/>
                <w:szCs w:val="18"/>
              </w:rPr>
            </w:pPr>
            <w:r>
              <w:rPr>
                <w:rFonts w:hint="eastAsia" w:ascii="宋体" w:hAnsi="宋体"/>
                <w:sz w:val="18"/>
                <w:szCs w:val="18"/>
              </w:rPr>
              <w:t>见本要求“二、技术要求”</w:t>
            </w: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kern w:val="0"/>
                <w:sz w:val="18"/>
                <w:szCs w:val="18"/>
              </w:rPr>
            </w:pPr>
            <w:r>
              <w:rPr>
                <w:rFonts w:hint="eastAsia" w:ascii="宋体" w:hAnsi="Arial" w:cs="宋体"/>
                <w:kern w:val="0"/>
                <w:sz w:val="18"/>
                <w:szCs w:val="18"/>
              </w:rPr>
              <w:t>1</w:t>
            </w:r>
          </w:p>
        </w:tc>
        <w:tc>
          <w:tcPr>
            <w:tcW w:w="9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FF0000"/>
                <w:kern w:val="0"/>
                <w:sz w:val="18"/>
                <w:szCs w:val="18"/>
              </w:rPr>
            </w:pPr>
          </w:p>
        </w:tc>
      </w:tr>
    </w:tbl>
    <w:p>
      <w:pPr>
        <w:spacing w:line="360" w:lineRule="auto"/>
        <w:rPr>
          <w:rFonts w:hint="eastAsia"/>
          <w:sz w:val="24"/>
        </w:rPr>
      </w:pPr>
    </w:p>
    <w:p>
      <w:pPr>
        <w:adjustRightInd w:val="0"/>
        <w:snapToGrid w:val="0"/>
        <w:spacing w:line="360" w:lineRule="exact"/>
        <w:rPr>
          <w:rFonts w:hint="eastAsia" w:ascii="宋体" w:hAnsi="宋体" w:cs="宋体"/>
          <w:sz w:val="24"/>
        </w:rPr>
      </w:pPr>
    </w:p>
    <w:p>
      <w:pPr>
        <w:pStyle w:val="16"/>
        <w:adjustRightInd w:val="0"/>
        <w:snapToGrid w:val="0"/>
        <w:spacing w:before="0" w:after="0" w:line="360" w:lineRule="exact"/>
        <w:rPr>
          <w:rFonts w:hint="eastAsia"/>
          <w:b/>
        </w:rPr>
      </w:pPr>
      <w:r>
        <w:rPr>
          <w:rFonts w:hint="eastAsia"/>
          <w:b/>
        </w:rPr>
        <w:t>六、    综合说明及其它要求：</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2、凡涉及</w:t>
      </w:r>
      <w:r>
        <w:rPr>
          <w:rFonts w:hint="eastAsia" w:ascii="宋体" w:hAnsi="宋体" w:cs="宋体"/>
          <w:sz w:val="24"/>
          <w:lang w:eastAsia="zh-CN"/>
        </w:rPr>
        <w:t>采购文件</w:t>
      </w:r>
      <w:r>
        <w:rPr>
          <w:rFonts w:hint="eastAsia" w:ascii="宋体" w:hAnsi="宋体" w:cs="宋体"/>
          <w:sz w:val="24"/>
        </w:rPr>
        <w:t>的补充说明和修改，均以南邮通达学院公示的补充通知为准。</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pStyle w:val="7"/>
        <w:adjustRightInd w:val="0"/>
        <w:snapToGrid w:val="0"/>
        <w:spacing w:line="440" w:lineRule="exact"/>
        <w:jc w:val="center"/>
        <w:rPr>
          <w:rFonts w:hint="eastAsia" w:hAnsi="宋体" w:cs="宋体"/>
          <w:b/>
          <w:sz w:val="44"/>
          <w:szCs w:val="44"/>
        </w:rPr>
      </w:pPr>
      <w:r>
        <w:rPr>
          <w:rFonts w:hint="eastAsia" w:hAnsi="宋体" w:cs="宋体"/>
          <w:b/>
          <w:bCs/>
          <w:sz w:val="44"/>
          <w:szCs w:val="44"/>
        </w:rPr>
        <w:t>第五章  评标方法与评标标准</w:t>
      </w:r>
    </w:p>
    <w:bookmarkEnd w:id="25"/>
    <w:bookmarkEnd w:id="26"/>
    <w:bookmarkEnd w:id="27"/>
    <w:bookmarkEnd w:id="28"/>
    <w:p>
      <w:pPr>
        <w:tabs>
          <w:tab w:val="left" w:pos="0"/>
          <w:tab w:val="left" w:pos="993"/>
          <w:tab w:val="left" w:pos="1134"/>
        </w:tabs>
        <w:adjustRightInd w:val="0"/>
        <w:snapToGrid w:val="0"/>
        <w:spacing w:before="145" w:beforeLines="50" w:line="300" w:lineRule="auto"/>
        <w:ind w:firstLine="480" w:firstLineChars="200"/>
        <w:rPr>
          <w:rFonts w:ascii="宋体" w:hAnsi="宋体"/>
          <w:bCs/>
          <w:snapToGrid w:val="0"/>
          <w:color w:val="000000"/>
          <w:sz w:val="24"/>
        </w:rPr>
      </w:pPr>
      <w:bookmarkStart w:id="35" w:name="_Toc26554093"/>
      <w:bookmarkStart w:id="36" w:name="_Toc49090575"/>
      <w:bookmarkStart w:id="37" w:name="_Toc120614281"/>
      <w:r>
        <w:rPr>
          <w:rFonts w:hint="eastAsia" w:ascii="宋体" w:hAnsi="宋体"/>
          <w:bCs/>
          <w:snapToGrid w:val="0"/>
          <w:color w:val="000000"/>
          <w:sz w:val="24"/>
        </w:rPr>
        <w:t>一、总则</w:t>
      </w:r>
    </w:p>
    <w:p>
      <w:pPr>
        <w:tabs>
          <w:tab w:val="left" w:pos="0"/>
          <w:tab w:val="left" w:pos="993"/>
          <w:tab w:val="left" w:pos="1134"/>
        </w:tabs>
        <w:adjustRightInd w:val="0"/>
        <w:snapToGrid w:val="0"/>
        <w:spacing w:line="300" w:lineRule="auto"/>
        <w:ind w:firstLine="480" w:firstLineChars="200"/>
        <w:rPr>
          <w:rFonts w:hint="eastAsia" w:ascii="宋体" w:hAnsi="宋体"/>
          <w:bCs/>
          <w:snapToGrid w:val="0"/>
          <w:color w:val="000000"/>
          <w:sz w:val="24"/>
        </w:rPr>
      </w:pPr>
      <w:r>
        <w:rPr>
          <w:rFonts w:hint="eastAsia" w:ascii="宋体" w:hAnsi="宋体"/>
          <w:bCs/>
          <w:snapToGrid w:val="0"/>
          <w:color w:val="000000"/>
          <w:sz w:val="24"/>
        </w:rPr>
        <w:t>本次评标采用综合评分法，即在满足</w:t>
      </w:r>
      <w:r>
        <w:rPr>
          <w:rFonts w:hint="eastAsia" w:ascii="宋体" w:hAnsi="宋体"/>
          <w:bCs/>
          <w:snapToGrid w:val="0"/>
          <w:color w:val="000000"/>
          <w:sz w:val="24"/>
          <w:lang w:eastAsia="zh-CN"/>
        </w:rPr>
        <w:t>采购文件</w:t>
      </w:r>
      <w:r>
        <w:rPr>
          <w:rFonts w:hint="eastAsia" w:ascii="宋体" w:hAnsi="宋体"/>
          <w:bCs/>
          <w:snapToGrid w:val="0"/>
          <w:color w:val="000000"/>
          <w:sz w:val="24"/>
        </w:rPr>
        <w:t>实质性要求前提下，按照</w:t>
      </w:r>
      <w:r>
        <w:rPr>
          <w:rFonts w:hint="eastAsia" w:ascii="宋体" w:hAnsi="宋体"/>
          <w:bCs/>
          <w:snapToGrid w:val="0"/>
          <w:color w:val="000000"/>
          <w:sz w:val="24"/>
          <w:lang w:eastAsia="zh-CN"/>
        </w:rPr>
        <w:t>采购文件</w:t>
      </w:r>
      <w:r>
        <w:rPr>
          <w:rFonts w:hint="eastAsia" w:ascii="宋体" w:hAnsi="宋体"/>
          <w:bCs/>
          <w:snapToGrid w:val="0"/>
          <w:color w:val="000000"/>
          <w:sz w:val="24"/>
        </w:rPr>
        <w:t>中规定的评分标准和各项因素进行综合评审后，以评标总得分最高的投标人作为中标候选供应商或中标供应商。</w:t>
      </w:r>
      <w:r>
        <w:rPr>
          <w:rFonts w:ascii="仿宋_GB2312" w:hAnsi="宋体" w:cs="宋体"/>
          <w:color w:val="000000"/>
          <w:kern w:val="0"/>
          <w:sz w:val="24"/>
        </w:rPr>
        <w:t>得分相同的，按投标报价由低到高顺序排列。得分且投标报价相同的，按技术服务方案优劣顺序排列</w:t>
      </w:r>
      <w:r>
        <w:rPr>
          <w:rFonts w:hint="eastAsia" w:ascii="宋体" w:hAnsi="宋体"/>
          <w:bCs/>
          <w:snapToGrid w:val="0"/>
          <w:color w:val="000000"/>
          <w:sz w:val="24"/>
        </w:rPr>
        <w:t>本综合评分法采用百分制形式，具体分值详见本细则。</w:t>
      </w:r>
      <w:r>
        <w:rPr>
          <w:rFonts w:hint="eastAsia" w:ascii="宋体" w:hAnsi="宋体"/>
          <w:color w:val="000000"/>
          <w:sz w:val="24"/>
        </w:rPr>
        <w:t xml:space="preserve">                   </w:t>
      </w:r>
    </w:p>
    <w:p>
      <w:pPr>
        <w:tabs>
          <w:tab w:val="left" w:pos="0"/>
          <w:tab w:val="left" w:pos="600"/>
          <w:tab w:val="left" w:pos="993"/>
          <w:tab w:val="left" w:pos="1134"/>
        </w:tabs>
        <w:adjustRightInd w:val="0"/>
        <w:snapToGrid w:val="0"/>
        <w:spacing w:line="300" w:lineRule="auto"/>
        <w:ind w:firstLine="480" w:firstLineChars="200"/>
        <w:rPr>
          <w:rFonts w:ascii="宋体" w:hAnsi="宋体"/>
          <w:color w:val="000000"/>
          <w:sz w:val="24"/>
        </w:rPr>
      </w:pPr>
      <w:r>
        <w:rPr>
          <w:rFonts w:hint="eastAsia" w:ascii="宋体" w:hAnsi="宋体"/>
          <w:color w:val="000000"/>
          <w:sz w:val="24"/>
        </w:rPr>
        <w:t>二、评分标准</w:t>
      </w:r>
    </w:p>
    <w:p>
      <w:pPr>
        <w:tabs>
          <w:tab w:val="left" w:pos="0"/>
          <w:tab w:val="left" w:pos="600"/>
          <w:tab w:val="left" w:pos="1134"/>
        </w:tabs>
        <w:adjustRightInd w:val="0"/>
        <w:snapToGrid w:val="0"/>
        <w:rPr>
          <w:rFonts w:hint="eastAsia" w:ascii="黑体" w:eastAsia="黑体"/>
          <w:b/>
          <w:bCs/>
          <w:color w:val="000000"/>
          <w:sz w:val="28"/>
          <w:szCs w:val="28"/>
        </w:rPr>
      </w:pPr>
      <w:r>
        <w:rPr>
          <w:rFonts w:hint="eastAsia" w:ascii="宋体" w:hAnsi="宋体"/>
          <w:b/>
          <w:bCs/>
          <w:color w:val="000000"/>
          <w:sz w:val="24"/>
        </w:rPr>
        <w:t xml:space="preserve">     1.投标报价（40分）</w:t>
      </w:r>
    </w:p>
    <w:p>
      <w:pPr>
        <w:tabs>
          <w:tab w:val="left" w:pos="0"/>
          <w:tab w:val="left" w:pos="600"/>
          <w:tab w:val="left" w:pos="993"/>
          <w:tab w:val="left" w:pos="1134"/>
        </w:tabs>
        <w:adjustRightInd w:val="0"/>
        <w:snapToGrid w:val="0"/>
        <w:spacing w:line="300" w:lineRule="auto"/>
        <w:jc w:val="left"/>
        <w:rPr>
          <w:rFonts w:hint="eastAsia" w:ascii="宋体" w:hAnsi="宋体"/>
          <w:color w:val="000000"/>
          <w:sz w:val="24"/>
        </w:rPr>
      </w:pPr>
      <w:r>
        <w:rPr>
          <w:rFonts w:hint="eastAsia" w:ascii="宋体" w:hAnsi="宋体"/>
          <w:color w:val="000000"/>
          <w:sz w:val="24"/>
        </w:rPr>
        <w:t xml:space="preserve">    </w:t>
      </w:r>
      <w:bookmarkStart w:id="38" w:name="_Hlk494380768"/>
      <w:r>
        <w:rPr>
          <w:rFonts w:hint="eastAsia" w:ascii="宋体" w:hAnsi="宋体"/>
          <w:color w:val="000000"/>
          <w:sz w:val="24"/>
        </w:rPr>
        <w:t>采用低价优先法计算，即满足</w:t>
      </w:r>
      <w:r>
        <w:rPr>
          <w:rFonts w:hint="eastAsia" w:ascii="宋体" w:hAnsi="宋体"/>
          <w:color w:val="000000"/>
          <w:sz w:val="24"/>
          <w:lang w:eastAsia="zh-CN"/>
        </w:rPr>
        <w:t>采购文件</w:t>
      </w:r>
      <w:r>
        <w:rPr>
          <w:rFonts w:hint="eastAsia" w:ascii="宋体" w:hAnsi="宋体"/>
          <w:color w:val="000000"/>
          <w:sz w:val="24"/>
        </w:rPr>
        <w:t>要求且投标价格最低的投标报价为评标基准</w:t>
      </w:r>
    </w:p>
    <w:p>
      <w:pPr>
        <w:tabs>
          <w:tab w:val="left" w:pos="0"/>
          <w:tab w:val="left" w:pos="600"/>
          <w:tab w:val="left" w:pos="993"/>
          <w:tab w:val="left" w:pos="1134"/>
        </w:tabs>
        <w:adjustRightInd w:val="0"/>
        <w:snapToGrid w:val="0"/>
        <w:spacing w:line="300" w:lineRule="auto"/>
        <w:jc w:val="left"/>
        <w:rPr>
          <w:rFonts w:hint="eastAsia" w:ascii="宋体" w:hAnsi="宋体"/>
          <w:color w:val="000000"/>
          <w:sz w:val="24"/>
        </w:rPr>
      </w:pPr>
      <w:r>
        <w:rPr>
          <w:rFonts w:hint="eastAsia" w:ascii="宋体" w:hAnsi="宋体"/>
          <w:color w:val="000000"/>
          <w:sz w:val="24"/>
        </w:rPr>
        <w:t>价，其价格为满分。其他投标人的价格分按照下列公式计算：</w:t>
      </w:r>
    </w:p>
    <w:p>
      <w:pPr>
        <w:tabs>
          <w:tab w:val="left" w:pos="0"/>
          <w:tab w:val="left" w:pos="600"/>
          <w:tab w:val="left" w:pos="993"/>
          <w:tab w:val="left" w:pos="1134"/>
        </w:tabs>
        <w:adjustRightInd w:val="0"/>
        <w:snapToGrid w:val="0"/>
        <w:spacing w:line="300" w:lineRule="auto"/>
        <w:ind w:firstLine="480"/>
        <w:jc w:val="left"/>
        <w:rPr>
          <w:rFonts w:hint="eastAsia" w:ascii="宋体" w:hAnsi="宋体"/>
          <w:color w:val="000000"/>
          <w:sz w:val="24"/>
        </w:rPr>
      </w:pPr>
      <w:r>
        <w:rPr>
          <w:rFonts w:hint="eastAsia" w:ascii="宋体" w:hAnsi="宋体"/>
          <w:color w:val="000000"/>
          <w:sz w:val="24"/>
        </w:rPr>
        <w:t>报价得分=（评标基准价/有效报价）</w:t>
      </w:r>
      <w:r>
        <w:rPr>
          <w:rFonts w:ascii="Arial" w:hAnsi="Arial" w:cs="Arial"/>
          <w:color w:val="000000"/>
          <w:sz w:val="24"/>
        </w:rPr>
        <w:t>×</w:t>
      </w:r>
      <w:r>
        <w:rPr>
          <w:rFonts w:hint="eastAsia" w:ascii="宋体" w:hAnsi="宋体"/>
          <w:color w:val="000000"/>
          <w:sz w:val="24"/>
        </w:rPr>
        <w:t>40。计算结果保留两位小数。</w:t>
      </w:r>
      <w:bookmarkEnd w:id="38"/>
    </w:p>
    <w:p>
      <w:pPr>
        <w:tabs>
          <w:tab w:val="left" w:pos="0"/>
          <w:tab w:val="left" w:pos="600"/>
          <w:tab w:val="left" w:pos="1134"/>
        </w:tabs>
        <w:adjustRightInd w:val="0"/>
        <w:snapToGrid w:val="0"/>
        <w:ind w:firstLine="482" w:firstLineChars="200"/>
        <w:rPr>
          <w:rFonts w:hint="eastAsia" w:ascii="宋体" w:hAnsi="宋体"/>
          <w:b/>
          <w:bCs/>
          <w:color w:val="000000"/>
          <w:sz w:val="24"/>
        </w:rPr>
      </w:pPr>
      <w:r>
        <w:rPr>
          <w:rFonts w:hint="eastAsia" w:ascii="宋体" w:hAnsi="宋体"/>
          <w:b/>
          <w:bCs/>
          <w:color w:val="000000"/>
          <w:sz w:val="24"/>
        </w:rPr>
        <w:t>2.技术参数响应情况(3</w:t>
      </w:r>
      <w:r>
        <w:rPr>
          <w:rFonts w:hint="eastAsia" w:ascii="宋体" w:hAnsi="宋体"/>
          <w:b/>
          <w:bCs/>
          <w:color w:val="000000"/>
          <w:sz w:val="24"/>
          <w:lang w:val="en-US" w:eastAsia="zh-CN"/>
        </w:rPr>
        <w:t>0</w:t>
      </w:r>
      <w:r>
        <w:rPr>
          <w:rFonts w:hint="eastAsia" w:ascii="宋体" w:hAnsi="宋体"/>
          <w:b/>
          <w:bCs/>
          <w:color w:val="000000"/>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根据各投标文件对技术性能的响应情况（加“★”号技术参数，完全响应得24分，负偏离一项扣3分，正偏离一项加2分（</w:t>
      </w:r>
      <w:r>
        <w:rPr>
          <w:rFonts w:hint="eastAsia" w:ascii="宋体" w:hAnsi="宋体"/>
          <w:color w:val="000000"/>
          <w:sz w:val="24"/>
          <w:lang w:eastAsia="zh-CN"/>
        </w:rPr>
        <w:t>评审专家组</w:t>
      </w:r>
      <w:r>
        <w:rPr>
          <w:rFonts w:hint="eastAsia" w:ascii="宋体" w:hAnsi="宋体"/>
          <w:color w:val="000000"/>
          <w:sz w:val="24"/>
        </w:rPr>
        <w:t>认为超出指标有意义），最高得分为3</w:t>
      </w:r>
      <w:r>
        <w:rPr>
          <w:rFonts w:hint="eastAsia" w:ascii="宋体" w:hAnsi="宋体"/>
          <w:color w:val="000000"/>
          <w:sz w:val="24"/>
          <w:lang w:val="en-US" w:eastAsia="zh-CN"/>
        </w:rPr>
        <w:t>0</w:t>
      </w:r>
      <w:r>
        <w:rPr>
          <w:rFonts w:hint="eastAsia" w:ascii="宋体" w:hAnsi="宋体"/>
          <w:color w:val="000000"/>
          <w:sz w:val="24"/>
        </w:rPr>
        <w:t>分。有三项及以上负偏离本大项不得分。</w:t>
      </w:r>
    </w:p>
    <w:p>
      <w:pPr>
        <w:tabs>
          <w:tab w:val="left" w:pos="0"/>
          <w:tab w:val="left" w:pos="600"/>
          <w:tab w:val="left" w:pos="1134"/>
        </w:tabs>
        <w:adjustRightInd w:val="0"/>
        <w:snapToGrid w:val="0"/>
        <w:spacing w:line="360" w:lineRule="auto"/>
        <w:rPr>
          <w:rFonts w:hint="eastAsia" w:ascii="宋体" w:hAnsi="宋体"/>
          <w:szCs w:val="21"/>
        </w:rPr>
      </w:pPr>
      <w:r>
        <w:rPr>
          <w:rFonts w:hint="eastAsia" w:ascii="宋体" w:hAnsi="宋体"/>
          <w:bCs/>
          <w:szCs w:val="21"/>
        </w:rPr>
        <w:t xml:space="preserve">  </w:t>
      </w:r>
      <w:r>
        <w:rPr>
          <w:rFonts w:hint="eastAsia" w:ascii="宋体" w:hAnsi="宋体"/>
          <w:bCs/>
          <w:szCs w:val="21"/>
          <w:lang w:val="en-US" w:eastAsia="zh-CN"/>
        </w:rPr>
        <w:t xml:space="preserve">  </w:t>
      </w:r>
      <w:r>
        <w:rPr>
          <w:rFonts w:hint="eastAsia" w:ascii="宋体" w:hAnsi="宋体"/>
          <w:b/>
          <w:bCs/>
          <w:szCs w:val="21"/>
        </w:rPr>
        <w:t xml:space="preserve"> </w:t>
      </w:r>
      <w:r>
        <w:rPr>
          <w:rFonts w:hint="eastAsia" w:ascii="宋体" w:hAnsi="宋体"/>
          <w:b/>
          <w:bCs/>
          <w:szCs w:val="21"/>
          <w:lang w:val="en-US" w:eastAsia="zh-CN"/>
        </w:rPr>
        <w:t>3.</w:t>
      </w:r>
      <w:r>
        <w:rPr>
          <w:rFonts w:hint="eastAsia" w:ascii="宋体" w:hAnsi="宋体"/>
          <w:b/>
          <w:bCs/>
          <w:szCs w:val="21"/>
        </w:rPr>
        <w:t>质量与功能评价（</w:t>
      </w:r>
      <w:r>
        <w:rPr>
          <w:rFonts w:hint="eastAsia" w:ascii="宋体" w:hAnsi="宋体"/>
          <w:b/>
          <w:bCs/>
          <w:szCs w:val="21"/>
          <w:lang w:val="en-US" w:eastAsia="zh-CN"/>
        </w:rPr>
        <w:t>5</w:t>
      </w:r>
      <w:r>
        <w:rPr>
          <w:rFonts w:hint="eastAsia" w:ascii="宋体" w:hAnsi="宋体"/>
          <w:b/>
          <w:bCs/>
          <w:szCs w:val="21"/>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质量性能评价：5分，根据投标产品的配置合理性、可靠性、先进性等（提供有效期内的质量管理等证书）进行比较评分，产品配置合理、可靠性高得5分，产品配置一般、可靠性一般得3分，产品配置较差、可靠性差得1分。</w:t>
      </w:r>
    </w:p>
    <w:p>
      <w:pPr>
        <w:tabs>
          <w:tab w:val="left" w:pos="0"/>
          <w:tab w:val="left" w:pos="600"/>
          <w:tab w:val="left" w:pos="993"/>
          <w:tab w:val="left" w:pos="1134"/>
        </w:tabs>
        <w:adjustRightInd w:val="0"/>
        <w:snapToGrid w:val="0"/>
        <w:spacing w:line="380" w:lineRule="exact"/>
        <w:ind w:firstLine="482" w:firstLineChars="200"/>
        <w:jc w:val="left"/>
        <w:rPr>
          <w:rFonts w:hint="eastAsia" w:ascii="宋体" w:hAnsi="宋体"/>
          <w:b/>
          <w:sz w:val="24"/>
        </w:rPr>
      </w:pPr>
      <w:r>
        <w:rPr>
          <w:rFonts w:hint="eastAsia" w:ascii="宋体" w:hAnsi="宋体"/>
          <w:b/>
          <w:sz w:val="24"/>
          <w:lang w:val="en-US" w:eastAsia="zh-CN"/>
        </w:rPr>
        <w:t>4.</w:t>
      </w:r>
      <w:r>
        <w:rPr>
          <w:rFonts w:hint="eastAsia" w:ascii="宋体" w:hAnsi="宋体"/>
          <w:b/>
          <w:sz w:val="24"/>
        </w:rPr>
        <w:t>售后服务和承诺（</w:t>
      </w:r>
      <w:r>
        <w:rPr>
          <w:rFonts w:hint="eastAsia" w:ascii="宋体" w:hAnsi="宋体"/>
          <w:b/>
          <w:sz w:val="24"/>
          <w:lang w:val="en-US" w:eastAsia="zh-CN"/>
        </w:rPr>
        <w:t>15</w:t>
      </w:r>
      <w:r>
        <w:rPr>
          <w:rFonts w:hint="eastAsia" w:ascii="宋体" w:hAnsi="宋体"/>
          <w:b/>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（1）维保期内及期后服务方案：如服务体系、服务内容</w:t>
      </w:r>
      <w:r>
        <w:rPr>
          <w:rFonts w:hint="eastAsia" w:ascii="宋体" w:hAnsi="宋体"/>
          <w:color w:val="000000"/>
          <w:sz w:val="24"/>
          <w:lang w:eastAsia="zh-CN"/>
        </w:rPr>
        <w:t>、培训</w:t>
      </w:r>
      <w:r>
        <w:rPr>
          <w:rFonts w:hint="eastAsia" w:ascii="宋体" w:hAnsi="宋体"/>
          <w:color w:val="000000"/>
          <w:sz w:val="24"/>
        </w:rPr>
        <w:t>等，；根据投标文件的响应情况酌情给分，服务方案全面完整得</w:t>
      </w:r>
      <w:r>
        <w:rPr>
          <w:rFonts w:hint="eastAsia" w:ascii="宋体" w:hAnsi="宋体"/>
          <w:color w:val="000000"/>
          <w:sz w:val="24"/>
          <w:lang w:val="en-US" w:eastAsia="zh-CN"/>
        </w:rPr>
        <w:t>5</w:t>
      </w:r>
      <w:r>
        <w:rPr>
          <w:rFonts w:hint="eastAsia" w:ascii="宋体" w:hAnsi="宋体"/>
          <w:color w:val="000000"/>
          <w:sz w:val="24"/>
        </w:rPr>
        <w:t>分，服务方案一般得</w:t>
      </w:r>
      <w:r>
        <w:rPr>
          <w:rFonts w:hint="eastAsia" w:ascii="宋体" w:hAnsi="宋体"/>
          <w:color w:val="000000"/>
          <w:sz w:val="24"/>
          <w:lang w:val="en-US" w:eastAsia="zh-CN"/>
        </w:rPr>
        <w:t>3</w:t>
      </w:r>
      <w:bookmarkStart w:id="59" w:name="_GoBack"/>
      <w:bookmarkEnd w:id="59"/>
      <w:r>
        <w:rPr>
          <w:rFonts w:hint="eastAsia" w:ascii="宋体" w:hAnsi="宋体"/>
          <w:color w:val="000000"/>
          <w:sz w:val="24"/>
        </w:rPr>
        <w:t>分，服务方案较差得1分；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2)免费质保期满足</w:t>
      </w:r>
      <w:r>
        <w:rPr>
          <w:rFonts w:hint="eastAsia" w:ascii="宋体" w:hAnsi="宋体"/>
          <w:color w:val="000000"/>
          <w:sz w:val="24"/>
          <w:lang w:eastAsia="zh-CN"/>
        </w:rPr>
        <w:t>采购文件</w:t>
      </w:r>
      <w:r>
        <w:rPr>
          <w:rFonts w:hint="eastAsia" w:ascii="宋体" w:hAnsi="宋体"/>
          <w:color w:val="000000"/>
          <w:sz w:val="24"/>
        </w:rPr>
        <w:t>需求，得3分；免费维保期每延长1年，加2分，最高加4分；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故障解决</w:t>
      </w:r>
      <w:r>
        <w:rPr>
          <w:rFonts w:hint="eastAsia" w:ascii="宋体" w:hAnsi="宋体"/>
          <w:color w:val="000000"/>
          <w:sz w:val="24"/>
        </w:rPr>
        <w:t>响应时间3分</w:t>
      </w:r>
      <w:r>
        <w:rPr>
          <w:rFonts w:hint="eastAsia" w:ascii="宋体" w:hAnsi="宋体"/>
          <w:color w:val="000000"/>
          <w:sz w:val="24"/>
          <w:lang w:eastAsia="zh-CN"/>
        </w:rPr>
        <w:t>。根据投标文件的响应情况酌情给分，优</w:t>
      </w:r>
      <w:r>
        <w:rPr>
          <w:rFonts w:hint="eastAsia" w:ascii="宋体" w:hAnsi="宋体"/>
          <w:color w:val="000000"/>
          <w:sz w:val="24"/>
          <w:lang w:val="en-US" w:eastAsia="zh-CN"/>
        </w:rPr>
        <w:t>3</w:t>
      </w:r>
      <w:r>
        <w:rPr>
          <w:rFonts w:hint="eastAsia" w:ascii="宋体" w:hAnsi="宋体"/>
          <w:color w:val="000000"/>
          <w:sz w:val="24"/>
          <w:lang w:eastAsia="zh-CN"/>
        </w:rPr>
        <w:t>分，良好</w:t>
      </w:r>
      <w:r>
        <w:rPr>
          <w:rFonts w:hint="eastAsia" w:ascii="宋体" w:hAnsi="宋体"/>
          <w:color w:val="000000"/>
          <w:sz w:val="24"/>
          <w:lang w:val="en-US" w:eastAsia="zh-CN"/>
        </w:rPr>
        <w:t>2</w:t>
      </w:r>
      <w:r>
        <w:rPr>
          <w:rFonts w:hint="eastAsia" w:ascii="宋体" w:hAnsi="宋体"/>
          <w:color w:val="000000"/>
          <w:sz w:val="24"/>
          <w:lang w:eastAsia="zh-CN"/>
        </w:rPr>
        <w:t>分，一般1分。</w:t>
      </w:r>
    </w:p>
    <w:p>
      <w:pPr>
        <w:tabs>
          <w:tab w:val="left" w:pos="0"/>
          <w:tab w:val="left" w:pos="600"/>
          <w:tab w:val="left" w:pos="993"/>
          <w:tab w:val="left" w:pos="1134"/>
        </w:tabs>
        <w:adjustRightInd w:val="0"/>
        <w:snapToGrid w:val="0"/>
        <w:spacing w:line="380" w:lineRule="exact"/>
        <w:jc w:val="left"/>
        <w:rPr>
          <w:rFonts w:ascii="宋体" w:hAnsi="宋体"/>
          <w:b/>
          <w:sz w:val="24"/>
        </w:rPr>
      </w:pPr>
      <w:r>
        <w:rPr>
          <w:rFonts w:hint="eastAsia" w:ascii="宋体" w:hAnsi="宋体"/>
          <w:sz w:val="24"/>
        </w:rPr>
        <w:t xml:space="preserve">  </w:t>
      </w:r>
      <w:r>
        <w:rPr>
          <w:rFonts w:hint="eastAsia" w:ascii="宋体" w:hAnsi="宋体"/>
          <w:sz w:val="24"/>
          <w:lang w:val="en-US" w:eastAsia="zh-CN"/>
        </w:rPr>
        <w:t xml:space="preserve"> 5</w:t>
      </w:r>
      <w:r>
        <w:rPr>
          <w:rFonts w:hint="eastAsia" w:ascii="宋体" w:hAnsi="宋体"/>
          <w:b/>
          <w:sz w:val="24"/>
        </w:rPr>
        <w:t xml:space="preserve">.投标人履行合同的能力及业绩（10分）        </w:t>
      </w:r>
    </w:p>
    <w:p>
      <w:pPr>
        <w:tabs>
          <w:tab w:val="left" w:pos="0"/>
          <w:tab w:val="left" w:pos="600"/>
          <w:tab w:val="left" w:pos="993"/>
          <w:tab w:val="left" w:pos="1134"/>
        </w:tabs>
        <w:adjustRightInd w:val="0"/>
        <w:snapToGrid w:val="0"/>
        <w:spacing w:line="380" w:lineRule="exact"/>
        <w:ind w:firstLine="480" w:firstLineChars="200"/>
        <w:jc w:val="left"/>
        <w:rPr>
          <w:rFonts w:ascii="宋体" w:hAnsi="宋体"/>
          <w:sz w:val="24"/>
        </w:rPr>
      </w:pPr>
      <w:r>
        <w:rPr>
          <w:rFonts w:hint="eastAsia" w:ascii="宋体" w:hAnsi="宋体"/>
          <w:sz w:val="24"/>
        </w:rPr>
        <w:t>（1）主要对投标人的</w:t>
      </w:r>
      <w:r>
        <w:rPr>
          <w:rFonts w:hint="eastAsia" w:ascii="宋体" w:hAnsi="宋体"/>
          <w:sz w:val="24"/>
          <w:lang w:eastAsia="zh-CN"/>
        </w:rPr>
        <w:t>公司综合实力</w:t>
      </w:r>
      <w:r>
        <w:rPr>
          <w:rFonts w:hint="eastAsia" w:ascii="宋体" w:hAnsi="宋体"/>
          <w:sz w:val="24"/>
        </w:rPr>
        <w:t>、银行资信、经营状况等进行评价。（4分）</w:t>
      </w:r>
    </w:p>
    <w:p>
      <w:pPr>
        <w:tabs>
          <w:tab w:val="left" w:pos="0"/>
          <w:tab w:val="left" w:pos="600"/>
          <w:tab w:val="left" w:pos="993"/>
          <w:tab w:val="left" w:pos="1134"/>
        </w:tabs>
        <w:adjustRightInd w:val="0"/>
        <w:snapToGrid w:val="0"/>
        <w:spacing w:line="380" w:lineRule="exact"/>
        <w:ind w:firstLine="480" w:firstLineChars="200"/>
        <w:jc w:val="left"/>
        <w:rPr>
          <w:rFonts w:ascii="宋体" w:hAnsi="宋体"/>
          <w:b/>
          <w:bCs/>
          <w:sz w:val="24"/>
          <w:szCs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每个合同得（提供复印件即可，原件备查）2分，最高6分。(6分)</w:t>
      </w:r>
    </w:p>
    <w:p>
      <w:pPr>
        <w:shd w:val="clear" w:color="auto" w:fill="FFFFFF"/>
        <w:snapToGrid w:val="0"/>
        <w:spacing w:line="380" w:lineRule="exact"/>
        <w:rPr>
          <w:rFonts w:ascii="宋体" w:hAnsi="宋体"/>
          <w:b/>
          <w:sz w:val="24"/>
        </w:rPr>
      </w:pPr>
    </w:p>
    <w:p>
      <w:pPr>
        <w:spacing w:line="480" w:lineRule="exact"/>
        <w:ind w:firstLine="600" w:firstLineChars="250"/>
        <w:rPr>
          <w:rFonts w:ascii="宋体" w:hAnsi="宋体" w:cs="Arial"/>
          <w:color w:val="000000"/>
          <w:sz w:val="24"/>
        </w:rPr>
      </w:pPr>
    </w:p>
    <w:p>
      <w:pPr>
        <w:spacing w:line="400" w:lineRule="exact"/>
        <w:ind w:firstLine="600" w:firstLineChars="250"/>
        <w:rPr>
          <w:rFonts w:ascii="宋体" w:hAnsi="宋体" w:cs="Arial"/>
          <w:color w:val="000000"/>
          <w:sz w:val="24"/>
        </w:rPr>
      </w:pPr>
    </w:p>
    <w:bookmarkEnd w:id="29"/>
    <w:bookmarkEnd w:id="30"/>
    <w:bookmarkEnd w:id="35"/>
    <w:bookmarkEnd w:id="36"/>
    <w:bookmarkEnd w:id="37"/>
    <w:p>
      <w:pPr>
        <w:jc w:val="center"/>
        <w:rPr>
          <w:rFonts w:hint="eastAsia" w:ascii="宋体" w:hAnsi="宋体" w:cs="宋体"/>
          <w:bCs/>
          <w:sz w:val="44"/>
        </w:rPr>
      </w:pPr>
      <w:r>
        <w:rPr>
          <w:rFonts w:hint="eastAsia" w:ascii="宋体" w:hAnsi="宋体" w:cs="宋体"/>
          <w:bCs/>
          <w:sz w:val="44"/>
        </w:rPr>
        <w:t>第六章  投标文件格式</w:t>
      </w:r>
    </w:p>
    <w:p>
      <w:pPr>
        <w:jc w:val="center"/>
        <w:rPr>
          <w:rFonts w:hint="eastAsia" w:ascii="宋体" w:hAnsi="宋体" w:cs="宋体"/>
          <w:b/>
          <w:sz w:val="72"/>
        </w:rPr>
      </w:pPr>
      <w:bookmarkStart w:id="39" w:name="_Hlt26671244"/>
      <w:bookmarkEnd w:id="39"/>
      <w:bookmarkStart w:id="40" w:name="_Hlt26955039"/>
      <w:bookmarkEnd w:id="40"/>
      <w:bookmarkStart w:id="41" w:name="_Toc26554094"/>
      <w:bookmarkStart w:id="42" w:name="_Toc49090576"/>
      <w:bookmarkStart w:id="43" w:name="_Toc120614282"/>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2530" w:firstLineChars="7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2530" w:firstLineChars="7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投标主要文件目录</w:t>
      </w:r>
    </w:p>
    <w:p>
      <w:pPr>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hint="eastAsia"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hint="eastAsia" w:ascii="宋体" w:hAnsi="宋体" w:cs="宋体"/>
          <w:sz w:val="24"/>
        </w:rPr>
      </w:pPr>
      <w:r>
        <w:rPr>
          <w:rFonts w:hint="eastAsia" w:ascii="宋体" w:hAnsi="宋体" w:cs="宋体"/>
          <w:sz w:val="24"/>
        </w:rPr>
        <w:t>三、开标一览表</w:t>
      </w:r>
    </w:p>
    <w:p>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五、商务条款响应及偏离表</w:t>
      </w:r>
    </w:p>
    <w:p>
      <w:pPr>
        <w:ind w:firstLine="480" w:firstLineChars="200"/>
        <w:rPr>
          <w:rFonts w:hint="eastAsia" w:ascii="宋体" w:hAnsi="宋体" w:cs="宋体"/>
          <w:sz w:val="24"/>
          <w:szCs w:val="24"/>
        </w:rPr>
      </w:pPr>
      <w:r>
        <w:rPr>
          <w:rFonts w:hint="eastAsia" w:ascii="宋体" w:hAnsi="宋体" w:cs="宋体"/>
          <w:sz w:val="24"/>
          <w:szCs w:val="24"/>
        </w:rPr>
        <w:t>六、投标人业绩情况</w:t>
      </w:r>
    </w:p>
    <w:p>
      <w:pPr>
        <w:ind w:firstLine="480" w:firstLineChars="200"/>
        <w:rPr>
          <w:rFonts w:hint="eastAsia" w:ascii="宋体" w:hAnsi="宋体" w:cs="宋体"/>
          <w:sz w:val="24"/>
        </w:rPr>
      </w:pPr>
      <w:r>
        <w:rPr>
          <w:rFonts w:hint="eastAsia" w:ascii="宋体" w:hAnsi="宋体" w:cs="宋体"/>
          <w:sz w:val="24"/>
        </w:rPr>
        <w:t>七、投标人其它声明及材料</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bookmarkEnd w:id="41"/>
    <w:bookmarkEnd w:id="42"/>
    <w:bookmarkEnd w:id="43"/>
    <w:p>
      <w:pPr>
        <w:pStyle w:val="4"/>
        <w:ind w:firstLine="3213" w:firstLineChars="1000"/>
        <w:jc w:val="both"/>
        <w:rPr>
          <w:rFonts w:hint="eastAsia" w:ascii="宋体" w:hAnsi="宋体" w:eastAsia="宋体" w:cs="宋体"/>
          <w:bCs w:val="0"/>
          <w:sz w:val="32"/>
          <w:szCs w:val="32"/>
        </w:rPr>
      </w:pPr>
      <w:r>
        <w:rPr>
          <w:rFonts w:hint="eastAsia" w:ascii="宋体" w:hAnsi="宋体" w:eastAsia="宋体" w:cs="宋体"/>
          <w:bCs w:val="0"/>
          <w:sz w:val="32"/>
          <w:szCs w:val="32"/>
        </w:rPr>
        <w:t>一、投标函格式</w:t>
      </w:r>
    </w:p>
    <w:p>
      <w:pPr>
        <w:pStyle w:val="14"/>
        <w:spacing w:before="0" w:after="0" w:line="420" w:lineRule="exact"/>
        <w:ind w:firstLine="0"/>
        <w:rPr>
          <w:rFonts w:hint="eastAsia" w:ascii="宋体" w:hAnsi="宋体" w:cs="宋体"/>
          <w:kern w:val="2"/>
          <w:szCs w:val="21"/>
        </w:rPr>
      </w:pPr>
      <w:r>
        <w:rPr>
          <w:rFonts w:hint="eastAsia" w:ascii="宋体" w:hAnsi="宋体" w:cs="宋体"/>
          <w:kern w:val="2"/>
          <w:szCs w:val="21"/>
        </w:rPr>
        <w:t>致：南京邮电大学通达学院</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根据贵方的项目编号为</w:t>
      </w:r>
      <w:r>
        <w:rPr>
          <w:rFonts w:hint="eastAsia" w:ascii="宋体" w:hAnsi="宋体" w:cs="宋体"/>
          <w:b/>
          <w:sz w:val="36"/>
          <w:u w:val="single"/>
        </w:rPr>
        <w:t xml:space="preserve">              </w:t>
      </w:r>
      <w:r>
        <w:rPr>
          <w:rFonts w:hint="eastAsia" w:ascii="宋体" w:hAnsi="宋体" w:cs="宋体"/>
          <w:kern w:val="2"/>
          <w:szCs w:val="21"/>
          <w:lang w:eastAsia="zh-CN"/>
        </w:rPr>
        <w:t>采购文件</w:t>
      </w:r>
      <w:r>
        <w:rPr>
          <w:rFonts w:hint="eastAsia" w:ascii="宋体" w:hAnsi="宋体" w:cs="宋体"/>
          <w:kern w:val="2"/>
          <w:szCs w:val="21"/>
        </w:rPr>
        <w:t>，正式授权下述签字人_________________</w:t>
      </w:r>
      <w:r>
        <w:rPr>
          <w:rFonts w:hint="eastAsia" w:ascii="宋体" w:hAnsi="宋体" w:cs="宋体"/>
          <w:kern w:val="2"/>
          <w:szCs w:val="21"/>
          <w:u w:val="single"/>
        </w:rPr>
        <w:t xml:space="preserve">   </w:t>
      </w:r>
      <w:r>
        <w:rPr>
          <w:rFonts w:hint="eastAsia" w:ascii="宋体" w:hAnsi="宋体" w:cs="宋体"/>
          <w:kern w:val="2"/>
          <w:szCs w:val="21"/>
        </w:rPr>
        <w:t>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14"/>
        <w:spacing w:before="0" w:after="0" w:line="420" w:lineRule="exact"/>
        <w:rPr>
          <w:rFonts w:hint="eastAsia" w:ascii="宋体" w:hAnsi="宋体" w:cs="宋体"/>
          <w:kern w:val="2"/>
          <w:szCs w:val="21"/>
        </w:rPr>
      </w:pPr>
      <w:r>
        <w:rPr>
          <w:rFonts w:hint="eastAsia" w:ascii="宋体" w:hAnsi="宋体" w:cs="宋体"/>
          <w:kern w:val="2"/>
          <w:szCs w:val="21"/>
        </w:rPr>
        <w:t>1.按采购文件规定的各项要求，向买方提供所需货物与服务。</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2.我们完全理解贵方不一定将合同授予最低报价的投标人。</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14"/>
        <w:spacing w:before="0" w:after="0" w:line="420" w:lineRule="exact"/>
        <w:rPr>
          <w:rFonts w:hint="eastAsia"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14"/>
        <w:spacing w:before="0" w:after="0" w:line="42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14"/>
        <w:spacing w:before="0" w:after="0" w:line="42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14"/>
        <w:spacing w:before="0" w:after="0" w:line="420" w:lineRule="exact"/>
        <w:rPr>
          <w:rFonts w:hint="eastAsia"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8.遵守采购文件中要求的收费项目和标准。</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9.与本投标有关的正式通讯地址为：</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地        址：</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邮        编：</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电        话：</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传        真：</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投标人开户行：</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账        户：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投标人授权代表姓名（签字）：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投标人名称（公章）：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日        期：________年____月____日</w:t>
      </w:r>
    </w:p>
    <w:p>
      <w:pPr>
        <w:snapToGrid w:val="0"/>
        <w:spacing w:before="50" w:after="145" w:afterLines="50"/>
        <w:jc w:val="left"/>
        <w:rPr>
          <w:rFonts w:hint="eastAsia" w:ascii="宋体" w:hAnsi="宋体" w:cs="宋体"/>
          <w:sz w:val="24"/>
          <w:szCs w:val="20"/>
        </w:rPr>
      </w:pPr>
      <w:r>
        <w:rPr>
          <w:rFonts w:hint="eastAsia" w:ascii="宋体" w:hAnsi="宋体" w:cs="宋体"/>
          <w:sz w:val="44"/>
        </w:rPr>
        <w:t xml:space="preserve">          </w:t>
      </w: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jc w:val="center"/>
        <w:rPr>
          <w:rFonts w:hint="eastAsia" w:ascii="宋体" w:hAnsi="宋体" w:cs="宋体"/>
          <w:b/>
          <w:bCs/>
          <w:sz w:val="24"/>
        </w:rPr>
      </w:pPr>
      <w:bookmarkStart w:id="44" w:name="_Toc462564147"/>
      <w:bookmarkStart w:id="45" w:name="_Toc120614284"/>
      <w:r>
        <w:rPr>
          <w:rFonts w:hint="eastAsia" w:ascii="宋体" w:hAnsi="宋体" w:cs="宋体"/>
          <w:b/>
          <w:sz w:val="32"/>
          <w:szCs w:val="32"/>
        </w:rPr>
        <w:t>二、投标人资质、业绩审核索引表</w:t>
      </w:r>
    </w:p>
    <w:p>
      <w:pPr>
        <w:jc w:val="center"/>
        <w:rPr>
          <w:rFonts w:hint="eastAsia"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rPr>
                <w:rFonts w:hint="eastAsia" w:ascii="宋体" w:hAnsi="宋体" w:cs="宋体"/>
                <w:b/>
              </w:rPr>
            </w:pPr>
            <w:r>
              <w:rPr>
                <w:rFonts w:hint="eastAsia" w:ascii="宋体" w:hAnsi="宋体" w:cs="宋体"/>
                <w:b/>
              </w:rPr>
              <w:t>序号</w:t>
            </w:r>
          </w:p>
        </w:tc>
        <w:tc>
          <w:tcPr>
            <w:tcW w:w="4475" w:type="dxa"/>
            <w:noWrap w:val="0"/>
            <w:vAlign w:val="center"/>
          </w:tcPr>
          <w:p>
            <w:pPr>
              <w:ind w:firstLine="422" w:firstLineChars="200"/>
              <w:jc w:val="center"/>
              <w:rPr>
                <w:rFonts w:hint="eastAsia" w:ascii="宋体" w:hAnsi="宋体" w:cs="宋体"/>
                <w:b/>
              </w:rPr>
            </w:pPr>
            <w:r>
              <w:rPr>
                <w:rFonts w:hint="eastAsia" w:ascii="宋体" w:hAnsi="宋体" w:cs="宋体"/>
                <w:b/>
              </w:rPr>
              <w:t>项目</w:t>
            </w:r>
          </w:p>
        </w:tc>
        <w:tc>
          <w:tcPr>
            <w:tcW w:w="1985" w:type="dxa"/>
            <w:noWrap w:val="0"/>
            <w:vAlign w:val="center"/>
          </w:tcPr>
          <w:p>
            <w:pPr>
              <w:ind w:firstLine="422" w:firstLineChars="200"/>
              <w:jc w:val="center"/>
              <w:rPr>
                <w:rFonts w:hint="eastAsia" w:ascii="宋体" w:hAnsi="宋体" w:cs="宋体"/>
                <w:b/>
              </w:rPr>
            </w:pPr>
            <w:r>
              <w:rPr>
                <w:rFonts w:hint="eastAsia" w:ascii="宋体" w:hAnsi="宋体" w:cs="宋体"/>
                <w:b/>
              </w:rPr>
              <w:t>说明</w:t>
            </w:r>
          </w:p>
        </w:tc>
        <w:tc>
          <w:tcPr>
            <w:tcW w:w="1559" w:type="dxa"/>
            <w:noWrap w:val="0"/>
            <w:vAlign w:val="center"/>
          </w:tcPr>
          <w:p>
            <w:pPr>
              <w:jc w:val="center"/>
              <w:rPr>
                <w:rFonts w:hint="eastAsia"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w:t>
            </w:r>
          </w:p>
        </w:tc>
        <w:tc>
          <w:tcPr>
            <w:tcW w:w="4475" w:type="dxa"/>
            <w:noWrap w:val="0"/>
            <w:vAlign w:val="center"/>
          </w:tcPr>
          <w:p>
            <w:pPr>
              <w:jc w:val="center"/>
              <w:rPr>
                <w:rFonts w:hint="eastAsia" w:ascii="宋体" w:hAnsi="宋体" w:cs="宋体"/>
              </w:rPr>
            </w:pPr>
            <w:r>
              <w:rPr>
                <w:rFonts w:hint="eastAsia" w:ascii="宋体" w:hAnsi="宋体" w:cs="宋体"/>
              </w:rPr>
              <w:t>企业法人营业执照副本复印件</w:t>
            </w:r>
          </w:p>
        </w:tc>
        <w:tc>
          <w:tcPr>
            <w:tcW w:w="1985" w:type="dxa"/>
            <w:noWrap w:val="0"/>
            <w:vAlign w:val="center"/>
          </w:tcPr>
          <w:p>
            <w:pPr>
              <w:jc w:val="center"/>
              <w:rPr>
                <w:rFonts w:hint="eastAsia" w:ascii="宋体" w:hAnsi="宋体" w:cs="宋体"/>
              </w:rPr>
            </w:pPr>
            <w:r>
              <w:rPr>
                <w:rFonts w:hint="eastAsia" w:ascii="宋体" w:hAnsi="宋体" w:cs="宋体"/>
              </w:rPr>
              <w:t>经年检，加盖公司公章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2</w:t>
            </w:r>
          </w:p>
        </w:tc>
        <w:tc>
          <w:tcPr>
            <w:tcW w:w="4475" w:type="dxa"/>
            <w:noWrap w:val="0"/>
            <w:vAlign w:val="center"/>
          </w:tcPr>
          <w:p>
            <w:pPr>
              <w:jc w:val="center"/>
              <w:rPr>
                <w:rFonts w:hint="eastAsia" w:ascii="宋体" w:hAnsi="宋体" w:cs="宋体"/>
              </w:rPr>
            </w:pPr>
            <w:r>
              <w:rPr>
                <w:rFonts w:hint="eastAsia" w:ascii="宋体" w:hAnsi="宋体" w:cs="宋体"/>
              </w:rPr>
              <w:t>税务登记证复印件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3</w:t>
            </w:r>
          </w:p>
        </w:tc>
        <w:tc>
          <w:tcPr>
            <w:tcW w:w="4475" w:type="dxa"/>
            <w:noWrap w:val="0"/>
            <w:vAlign w:val="center"/>
          </w:tcPr>
          <w:p>
            <w:pPr>
              <w:jc w:val="center"/>
              <w:rPr>
                <w:rFonts w:hint="eastAsia" w:ascii="宋体" w:hAnsi="宋体" w:cs="宋体"/>
              </w:rPr>
            </w:pPr>
            <w:r>
              <w:rPr>
                <w:rFonts w:hint="eastAsia" w:ascii="宋体" w:hAnsi="宋体" w:cs="宋体"/>
              </w:rPr>
              <w:t>组织机构代码证复印件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4</w:t>
            </w:r>
          </w:p>
        </w:tc>
        <w:tc>
          <w:tcPr>
            <w:tcW w:w="4475" w:type="dxa"/>
            <w:noWrap w:val="0"/>
            <w:vAlign w:val="center"/>
          </w:tcPr>
          <w:p>
            <w:pPr>
              <w:jc w:val="center"/>
              <w:rPr>
                <w:rFonts w:hint="eastAsia" w:ascii="宋体" w:hAnsi="宋体" w:cs="宋体"/>
              </w:rPr>
            </w:pPr>
            <w:r>
              <w:rPr>
                <w:rFonts w:hint="eastAsia" w:ascii="宋体" w:hAnsi="宋体" w:cs="宋体"/>
              </w:rPr>
              <w:t>法定代表身份证明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5</w:t>
            </w:r>
          </w:p>
        </w:tc>
        <w:tc>
          <w:tcPr>
            <w:tcW w:w="4475" w:type="dxa"/>
            <w:noWrap w:val="0"/>
            <w:vAlign w:val="center"/>
          </w:tcPr>
          <w:p>
            <w:pPr>
              <w:jc w:val="center"/>
              <w:rPr>
                <w:rFonts w:hint="eastAsia"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6</w:t>
            </w:r>
          </w:p>
        </w:tc>
        <w:tc>
          <w:tcPr>
            <w:tcW w:w="4475" w:type="dxa"/>
            <w:noWrap w:val="0"/>
            <w:vAlign w:val="center"/>
          </w:tcPr>
          <w:p>
            <w:pPr>
              <w:jc w:val="center"/>
              <w:rPr>
                <w:rFonts w:hint="eastAsia" w:ascii="宋体" w:hAnsi="宋体" w:cs="宋体"/>
              </w:rPr>
            </w:pPr>
            <w:r>
              <w:rPr>
                <w:rFonts w:hint="eastAsia" w:ascii="宋体" w:hAnsi="宋体" w:cs="宋体"/>
              </w:rPr>
              <w:t>法定代表授权委托书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7</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委托代理人身份证明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8</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原厂质保承诺函</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9</w:t>
            </w:r>
          </w:p>
        </w:tc>
        <w:tc>
          <w:tcPr>
            <w:tcW w:w="4475" w:type="dxa"/>
            <w:noWrap w:val="0"/>
            <w:vAlign w:val="center"/>
          </w:tcPr>
          <w:p>
            <w:pPr>
              <w:jc w:val="center"/>
              <w:rPr>
                <w:rFonts w:hint="eastAsia" w:ascii="宋体" w:hAnsi="宋体" w:cs="宋体"/>
              </w:rPr>
            </w:pPr>
            <w:r>
              <w:rPr>
                <w:rFonts w:hint="eastAsia" w:ascii="宋体" w:hAnsi="宋体" w:cs="宋体"/>
              </w:rPr>
              <w:t>业绩证明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10</w:t>
            </w:r>
          </w:p>
        </w:tc>
        <w:tc>
          <w:tcPr>
            <w:tcW w:w="4475" w:type="dxa"/>
            <w:noWrap w:val="0"/>
            <w:vAlign w:val="center"/>
          </w:tcPr>
          <w:p>
            <w:pPr>
              <w:jc w:val="center"/>
              <w:rPr>
                <w:rFonts w:hint="eastAsia" w:ascii="宋体" w:hAnsi="宋体" w:cs="宋体"/>
              </w:rPr>
            </w:pPr>
            <w:r>
              <w:rPr>
                <w:rFonts w:hint="eastAsia" w:ascii="宋体" w:hAnsi="宋体" w:cs="宋体"/>
              </w:rPr>
              <w:t>企业基本情况（经营规模、经营状况及行业优势）简介及投标人认为有必要提供的其它文件</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11</w:t>
            </w:r>
          </w:p>
        </w:tc>
        <w:tc>
          <w:tcPr>
            <w:tcW w:w="4475" w:type="dxa"/>
            <w:noWrap w:val="0"/>
            <w:vAlign w:val="center"/>
          </w:tcPr>
          <w:p>
            <w:pPr>
              <w:jc w:val="center"/>
              <w:rPr>
                <w:rFonts w:hint="eastAsia" w:ascii="宋体" w:hAnsi="宋体" w:cs="宋体"/>
              </w:rPr>
            </w:pPr>
            <w:r>
              <w:rPr>
                <w:rFonts w:hint="eastAsia" w:ascii="宋体" w:hAnsi="宋体" w:cs="宋体"/>
              </w:rPr>
              <w:t>无违法违规记录声明</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12</w:t>
            </w:r>
          </w:p>
        </w:tc>
        <w:tc>
          <w:tcPr>
            <w:tcW w:w="4475" w:type="dxa"/>
            <w:noWrap w:val="0"/>
            <w:vAlign w:val="center"/>
          </w:tcPr>
          <w:p>
            <w:pPr>
              <w:jc w:val="center"/>
              <w:rPr>
                <w:rFonts w:hint="eastAsia" w:ascii="宋体" w:hAnsi="宋体" w:eastAsia="宋体" w:cs="宋体"/>
                <w:lang w:eastAsia="zh-CN"/>
              </w:rPr>
            </w:pPr>
            <w:r>
              <w:rPr>
                <w:rFonts w:hint="eastAsia" w:ascii="宋体" w:hAnsi="宋体" w:cs="宋体"/>
                <w:lang w:eastAsia="zh-CN"/>
              </w:rPr>
              <w:t>诚信证明</w:t>
            </w:r>
          </w:p>
        </w:tc>
        <w:tc>
          <w:tcPr>
            <w:tcW w:w="1985" w:type="dxa"/>
            <w:noWrap w:val="0"/>
            <w:vAlign w:val="center"/>
          </w:tcPr>
          <w:p>
            <w:pPr>
              <w:jc w:val="center"/>
              <w:rPr>
                <w:rFonts w:hint="eastAsia" w:ascii="宋体" w:hAnsi="宋体" w:cs="宋体"/>
              </w:rPr>
            </w:pPr>
            <w:r>
              <w:rPr>
                <w:rFonts w:hint="eastAsia" w:ascii="宋体" w:hAnsi="宋体" w:cs="宋体"/>
                <w:lang w:eastAsia="zh-CN"/>
              </w:rPr>
              <w:t>网页截图加盖公章</w:t>
            </w:r>
          </w:p>
        </w:tc>
        <w:tc>
          <w:tcPr>
            <w:tcW w:w="1559" w:type="dxa"/>
            <w:noWrap w:val="0"/>
            <w:vAlign w:val="center"/>
          </w:tcPr>
          <w:p>
            <w:pPr>
              <w:ind w:firstLine="422" w:firstLineChars="200"/>
              <w:jc w:val="center"/>
              <w:rPr>
                <w:rFonts w:hint="eastAsia" w:ascii="宋体" w:hAnsi="宋体" w:cs="宋体"/>
                <w:b/>
              </w:rPr>
            </w:pPr>
          </w:p>
        </w:tc>
      </w:tr>
    </w:tbl>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0" w:firstLineChars="1750"/>
        <w:rPr>
          <w:rFonts w:hint="eastAsia" w:ascii="宋体" w:hAnsi="宋体" w:cs="宋体"/>
          <w:sz w:val="24"/>
        </w:rPr>
      </w:pPr>
    </w:p>
    <w:p>
      <w:pPr>
        <w:tabs>
          <w:tab w:val="left" w:pos="5220"/>
        </w:tabs>
        <w:ind w:firstLine="4200" w:firstLineChars="175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p>
    <w:p>
      <w:pPr>
        <w:tabs>
          <w:tab w:val="left" w:pos="5220"/>
        </w:tabs>
        <w:ind w:firstLine="480" w:firstLineChars="200"/>
        <w:rPr>
          <w:rFonts w:hint="eastAsia" w:ascii="宋体" w:hAnsi="宋体" w:cs="宋体"/>
          <w:sz w:val="24"/>
          <w:u w:val="single"/>
        </w:rPr>
      </w:pPr>
    </w:p>
    <w:p>
      <w:pPr>
        <w:pStyle w:val="7"/>
        <w:tabs>
          <w:tab w:val="left" w:pos="5400"/>
        </w:tabs>
        <w:spacing w:line="400" w:lineRule="exact"/>
        <w:ind w:left="448" w:firstLine="480" w:firstLineChars="200"/>
        <w:rPr>
          <w:rFonts w:hint="eastAsia" w:hAnsi="宋体" w:cs="宋体"/>
          <w:sz w:val="24"/>
        </w:rPr>
      </w:pPr>
      <w:r>
        <w:rPr>
          <w:rFonts w:hint="eastAsia" w:hAnsi="宋体" w:cs="宋体"/>
          <w:sz w:val="24"/>
        </w:rPr>
        <w:t xml:space="preserve">                            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napToGrid w:val="0"/>
        <w:spacing w:before="50" w:after="145" w:afterLines="50"/>
        <w:jc w:val="left"/>
        <w:rPr>
          <w:rFonts w:hint="eastAsia" w:ascii="宋体" w:hAnsi="宋体" w:cs="宋体"/>
          <w:sz w:val="24"/>
          <w:szCs w:val="20"/>
        </w:rPr>
      </w:pP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ind w:firstLine="1920" w:firstLineChars="800"/>
        <w:rPr>
          <w:rFonts w:hint="eastAsia" w:ascii="宋体" w:hAnsi="宋体" w:cs="宋体"/>
          <w:sz w:val="24"/>
          <w:szCs w:val="24"/>
        </w:rPr>
      </w:pPr>
    </w:p>
    <w:p>
      <w:pPr>
        <w:spacing w:line="360" w:lineRule="exact"/>
        <w:ind w:firstLine="480" w:firstLineChars="200"/>
        <w:rPr>
          <w:rFonts w:hint="eastAsia" w:ascii="宋体" w:hAnsi="宋体" w:cs="宋体"/>
          <w:sz w:val="24"/>
          <w:szCs w:val="24"/>
        </w:rPr>
      </w:pPr>
    </w:p>
    <w:p>
      <w:pPr>
        <w:snapToGrid w:val="0"/>
        <w:spacing w:before="50" w:after="145" w:afterLines="50"/>
        <w:jc w:val="center"/>
        <w:rPr>
          <w:rFonts w:hint="eastAsia" w:ascii="宋体" w:hAnsi="宋体" w:cs="宋体"/>
          <w:b/>
          <w:sz w:val="32"/>
          <w:szCs w:val="32"/>
        </w:rPr>
      </w:pPr>
      <w:r>
        <w:rPr>
          <w:rFonts w:hint="eastAsia" w:ascii="宋体" w:hAnsi="宋体" w:cs="宋体"/>
          <w:b/>
          <w:sz w:val="32"/>
          <w:szCs w:val="32"/>
        </w:rPr>
        <w:t>三、法人授权书格式</w:t>
      </w:r>
    </w:p>
    <w:p>
      <w:pPr>
        <w:pStyle w:val="17"/>
        <w:ind w:firstLine="562"/>
        <w:jc w:val="center"/>
        <w:rPr>
          <w:rFonts w:hint="eastAsia" w:ascii="宋体" w:hAnsi="宋体" w:cs="宋体"/>
          <w:b/>
        </w:rPr>
      </w:pP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本授权书声明：____________（供应商名称）授权________________（被授权人的姓名、职务）为我方就</w:t>
      </w:r>
      <w:r>
        <w:rPr>
          <w:rFonts w:hint="eastAsia" w:ascii="宋体" w:hAnsi="宋体" w:cs="宋体"/>
          <w:bCs/>
          <w:sz w:val="24"/>
          <w:u w:val="single"/>
        </w:rPr>
        <w:t xml:space="preserve">           </w:t>
      </w:r>
      <w:r>
        <w:rPr>
          <w:rFonts w:hint="eastAsia" w:ascii="宋体" w:hAnsi="宋体" w:cs="宋体"/>
          <w:bCs/>
          <w:sz w:val="24"/>
        </w:rPr>
        <w:t>（编号）________________________项目采购活动的合法代理人，以本公司名义全权处理一切与该项目采购有关的事务。</w:t>
      </w: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地址：</w:t>
      </w:r>
      <w:r>
        <w:rPr>
          <w:rFonts w:hint="eastAsia" w:ascii="宋体" w:hAnsi="宋体" w:cs="宋体"/>
          <w:bCs/>
          <w:sz w:val="24"/>
          <w:u w:val="single"/>
        </w:rPr>
        <w:t xml:space="preserve">                                         </w:t>
      </w:r>
    </w:p>
    <w:p>
      <w:pPr>
        <w:shd w:val="clear" w:color="auto" w:fill="FFFFFF"/>
        <w:snapToGrid w:val="0"/>
        <w:spacing w:line="460" w:lineRule="exact"/>
        <w:rPr>
          <w:rFonts w:hint="eastAsia" w:ascii="宋体" w:hAnsi="宋体" w:cs="宋体"/>
        </w:rPr>
      </w:pPr>
      <w:r>
        <w:rPr>
          <w:rFonts w:hint="eastAsia" w:ascii="宋体" w:hAnsi="宋体" w:cs="宋体"/>
          <w:bCs/>
          <w:sz w:val="24"/>
        </w:rPr>
        <w:t xml:space="preserve">          日期：______年____月____日</w:t>
      </w:r>
    </w:p>
    <w:p>
      <w:pPr>
        <w:pStyle w:val="17"/>
        <w:rPr>
          <w:rFonts w:hint="eastAsia" w:ascii="宋体" w:hAnsi="宋体" w:cs="宋体"/>
        </w:rPr>
      </w:pPr>
    </w:p>
    <w:p>
      <w:pPr>
        <w:pStyle w:val="6"/>
        <w:jc w:val="center"/>
        <w:rPr>
          <w:rFonts w:hint="eastAsia" w:ascii="宋体" w:hAnsi="宋体" w:cs="宋体"/>
          <w:bCs w:val="0"/>
        </w:rPr>
      </w:pPr>
      <w:r>
        <w:rPr>
          <w:rFonts w:hint="eastAsia" w:ascii="宋体" w:hAnsi="宋体" w:cs="宋体"/>
        </w:rPr>
        <w:br w:type="page"/>
      </w:r>
      <w:bookmarkEnd w:id="44"/>
      <w:bookmarkStart w:id="46" w:name="_格式3__银行出具的资信证明"/>
      <w:bookmarkEnd w:id="46"/>
      <w:bookmarkStart w:id="47" w:name="_Hlt26955070"/>
      <w:bookmarkEnd w:id="47"/>
      <w:bookmarkStart w:id="48" w:name="_Hlt26671380"/>
      <w:bookmarkEnd w:id="48"/>
      <w:r>
        <w:rPr>
          <w:rFonts w:hint="eastAsia" w:ascii="宋体" w:hAnsi="宋体" w:cs="宋体"/>
          <w:bCs w:val="0"/>
        </w:rPr>
        <w:t>四、开标一览表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p>
        </w:tc>
      </w:tr>
    </w:tbl>
    <w:p>
      <w:pPr>
        <w:shd w:val="clear" w:color="auto" w:fill="FFFFFF"/>
        <w:snapToGrid w:val="0"/>
        <w:spacing w:line="360" w:lineRule="auto"/>
        <w:ind w:firstLine="3720" w:firstLineChars="1550"/>
        <w:rPr>
          <w:rFonts w:hint="eastAsia" w:ascii="宋体" w:hAnsi="宋体" w:cs="宋体"/>
          <w:sz w:val="24"/>
        </w:rPr>
      </w:pPr>
    </w:p>
    <w:p>
      <w:pPr>
        <w:shd w:val="clear" w:color="auto" w:fill="FFFFFF"/>
        <w:snapToGrid w:val="0"/>
        <w:spacing w:line="360" w:lineRule="auto"/>
        <w:ind w:firstLine="3720" w:firstLineChars="15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hint="eastAsia"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hint="eastAsia" w:ascii="宋体" w:hAnsi="宋体" w:cs="宋体"/>
          <w:sz w:val="24"/>
          <w:szCs w:val="24"/>
        </w:rPr>
      </w:pPr>
    </w:p>
    <w:p>
      <w:pPr>
        <w:jc w:val="center"/>
        <w:rPr>
          <w:rFonts w:hint="eastAsia"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145" w:beforeLines="50" w:after="290" w:afterLines="100"/>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lang w:eastAsia="zh-CN"/>
              </w:rPr>
              <w:t>采购文件</w:t>
            </w:r>
            <w:r>
              <w:rPr>
                <w:rFonts w:hint="eastAsia" w:ascii="宋体" w:hAnsi="宋体" w:cs="宋体"/>
                <w:sz w:val="24"/>
              </w:rPr>
              <w:t>要求</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bl>
    <w:p>
      <w:pPr>
        <w:shd w:val="clear" w:color="auto" w:fill="FFFFFF"/>
        <w:snapToGrid w:val="0"/>
        <w:rPr>
          <w:rFonts w:hint="eastAsia" w:ascii="宋体" w:hAnsi="宋体" w:cs="宋体"/>
          <w:sz w:val="24"/>
        </w:rPr>
      </w:pPr>
    </w:p>
    <w:p>
      <w:pPr>
        <w:shd w:val="clear" w:color="auto" w:fill="FFFFFF"/>
        <w:snapToGrid w:val="0"/>
        <w:ind w:firstLine="3000" w:firstLineChars="12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注：1、按照基本技术要求详细填列；</w:t>
      </w:r>
    </w:p>
    <w:p>
      <w:pPr>
        <w:spacing w:before="145" w:beforeLines="50" w:after="145" w:afterLines="50"/>
        <w:jc w:val="center"/>
        <w:rPr>
          <w:rFonts w:hint="eastAsia" w:ascii="宋体" w:hAnsi="宋体" w:cs="宋体"/>
          <w:b/>
          <w:sz w:val="32"/>
          <w:szCs w:val="32"/>
        </w:rPr>
      </w:pPr>
      <w:r>
        <w:rPr>
          <w:rFonts w:hint="eastAsia" w:ascii="宋体" w:hAnsi="宋体" w:cs="宋体"/>
          <w:b/>
          <w:sz w:val="36"/>
        </w:rPr>
        <w:br w:type="page"/>
      </w:r>
      <w:bookmarkEnd w:id="45"/>
      <w:bookmarkStart w:id="49" w:name="_Hlt26955054"/>
      <w:bookmarkEnd w:id="49"/>
      <w:r>
        <w:rPr>
          <w:rFonts w:hint="eastAsia" w:ascii="宋体" w:hAnsi="宋体" w:cs="宋体"/>
          <w:b/>
          <w:sz w:val="32"/>
          <w:szCs w:val="32"/>
        </w:rPr>
        <w:t>六、</w:t>
      </w:r>
      <w:bookmarkStart w:id="50" w:name="_格式2__法定代表人授权书"/>
      <w:bookmarkEnd w:id="50"/>
      <w:bookmarkStart w:id="51" w:name="_Toc513029276"/>
      <w:bookmarkStart w:id="52" w:name="_Toc460901585"/>
      <w:bookmarkStart w:id="53" w:name="_Toc120614283"/>
      <w:bookmarkStart w:id="54" w:name="_Toc23828478"/>
      <w:bookmarkStart w:id="55" w:name="_Toc49090577"/>
      <w:bookmarkStart w:id="56" w:name="_Toc26554095"/>
      <w:bookmarkStart w:id="57" w:name="_Toc22356580"/>
      <w:r>
        <w:rPr>
          <w:rFonts w:hint="eastAsia" w:ascii="宋体" w:hAnsi="宋体" w:cs="宋体"/>
          <w:b/>
          <w:sz w:val="32"/>
          <w:szCs w:val="32"/>
        </w:rPr>
        <w:t>商务条款响应及偏离表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序号</w:t>
            </w:r>
          </w:p>
        </w:tc>
        <w:tc>
          <w:tcPr>
            <w:tcW w:w="2976" w:type="dxa"/>
            <w:noWrap w:val="0"/>
            <w:vAlign w:val="center"/>
          </w:tcPr>
          <w:p>
            <w:pPr>
              <w:pStyle w:val="18"/>
              <w:ind w:left="420"/>
              <w:jc w:val="center"/>
              <w:rPr>
                <w:rFonts w:hint="eastAsia" w:hAnsi="宋体"/>
                <w:color w:val="auto"/>
              </w:rPr>
            </w:pPr>
            <w:r>
              <w:rPr>
                <w:rFonts w:hint="eastAsia" w:hAnsi="宋体"/>
                <w:color w:val="auto"/>
              </w:rPr>
              <w:t>项目</w:t>
            </w:r>
          </w:p>
        </w:tc>
        <w:tc>
          <w:tcPr>
            <w:tcW w:w="1985" w:type="dxa"/>
            <w:noWrap w:val="0"/>
            <w:vAlign w:val="center"/>
          </w:tcPr>
          <w:p>
            <w:pPr>
              <w:pStyle w:val="18"/>
              <w:ind w:left="420"/>
              <w:jc w:val="center"/>
              <w:rPr>
                <w:rFonts w:hint="eastAsia" w:hAnsi="宋体"/>
                <w:color w:val="auto"/>
              </w:rPr>
            </w:pPr>
            <w:r>
              <w:rPr>
                <w:rFonts w:hint="eastAsia" w:hAnsi="宋体"/>
                <w:color w:val="auto"/>
                <w:lang w:eastAsia="zh-CN"/>
              </w:rPr>
              <w:t>采购文件</w:t>
            </w:r>
            <w:r>
              <w:rPr>
                <w:rFonts w:hint="eastAsia" w:hAnsi="宋体"/>
                <w:color w:val="auto"/>
              </w:rPr>
              <w:t>中主要商务条款的描述</w:t>
            </w:r>
          </w:p>
        </w:tc>
        <w:tc>
          <w:tcPr>
            <w:tcW w:w="1843" w:type="dxa"/>
            <w:noWrap w:val="0"/>
            <w:vAlign w:val="center"/>
          </w:tcPr>
          <w:p>
            <w:pPr>
              <w:pStyle w:val="18"/>
              <w:ind w:left="420"/>
              <w:jc w:val="center"/>
              <w:rPr>
                <w:rFonts w:hint="eastAsia" w:hAnsi="宋体"/>
                <w:color w:val="auto"/>
              </w:rPr>
            </w:pPr>
            <w:r>
              <w:rPr>
                <w:rFonts w:hint="eastAsia" w:hAnsi="宋体"/>
                <w:color w:val="auto"/>
              </w:rPr>
              <w:t>投标供应商的承诺或说明</w:t>
            </w:r>
          </w:p>
        </w:tc>
        <w:tc>
          <w:tcPr>
            <w:tcW w:w="1687" w:type="dxa"/>
            <w:noWrap w:val="0"/>
            <w:vAlign w:val="center"/>
          </w:tcPr>
          <w:p>
            <w:pPr>
              <w:pStyle w:val="18"/>
              <w:ind w:left="420"/>
              <w:jc w:val="center"/>
              <w:rPr>
                <w:rFonts w:hint="eastAsia"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1</w:t>
            </w:r>
          </w:p>
        </w:tc>
        <w:tc>
          <w:tcPr>
            <w:tcW w:w="2976" w:type="dxa"/>
            <w:noWrap w:val="0"/>
            <w:vAlign w:val="center"/>
          </w:tcPr>
          <w:p>
            <w:pPr>
              <w:pStyle w:val="18"/>
              <w:ind w:left="420"/>
              <w:jc w:val="center"/>
              <w:rPr>
                <w:rFonts w:hint="eastAsia" w:hAnsi="宋体"/>
                <w:color w:val="auto"/>
              </w:rPr>
            </w:pPr>
            <w:r>
              <w:rPr>
                <w:rFonts w:hint="eastAsia" w:hAnsi="宋体"/>
                <w:color w:val="auto"/>
              </w:rPr>
              <w:t>质保期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2</w:t>
            </w:r>
          </w:p>
        </w:tc>
        <w:tc>
          <w:tcPr>
            <w:tcW w:w="2976" w:type="dxa"/>
            <w:noWrap w:val="0"/>
            <w:vAlign w:val="center"/>
          </w:tcPr>
          <w:p>
            <w:pPr>
              <w:pStyle w:val="18"/>
              <w:ind w:left="420"/>
              <w:jc w:val="center"/>
              <w:rPr>
                <w:rFonts w:hint="eastAsia" w:hAnsi="宋体"/>
                <w:color w:val="auto"/>
              </w:rPr>
            </w:pPr>
            <w:r>
              <w:rPr>
                <w:rFonts w:hint="eastAsia" w:hAnsi="宋体"/>
                <w:color w:val="auto"/>
              </w:rPr>
              <w:t>售后技术服务要求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3</w:t>
            </w:r>
          </w:p>
        </w:tc>
        <w:tc>
          <w:tcPr>
            <w:tcW w:w="2976" w:type="dxa"/>
            <w:noWrap w:val="0"/>
            <w:vAlign w:val="center"/>
          </w:tcPr>
          <w:p>
            <w:pPr>
              <w:pStyle w:val="18"/>
              <w:ind w:left="420"/>
              <w:jc w:val="center"/>
              <w:rPr>
                <w:rFonts w:hint="eastAsia" w:hAnsi="宋体"/>
                <w:color w:val="auto"/>
              </w:rPr>
            </w:pPr>
            <w:r>
              <w:rPr>
                <w:rFonts w:hint="eastAsia" w:hAnsi="宋体"/>
                <w:color w:val="auto"/>
              </w:rPr>
              <w:t>供货期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4</w:t>
            </w:r>
          </w:p>
        </w:tc>
        <w:tc>
          <w:tcPr>
            <w:tcW w:w="2976" w:type="dxa"/>
            <w:noWrap w:val="0"/>
            <w:vAlign w:val="center"/>
          </w:tcPr>
          <w:p>
            <w:pPr>
              <w:pStyle w:val="18"/>
              <w:ind w:left="420"/>
              <w:jc w:val="center"/>
              <w:rPr>
                <w:rFonts w:hint="eastAsia" w:hAnsi="宋体"/>
                <w:color w:val="auto"/>
              </w:rPr>
            </w:pPr>
            <w:r>
              <w:rPr>
                <w:rFonts w:hint="eastAsia" w:hAnsi="宋体"/>
                <w:color w:val="auto"/>
              </w:rPr>
              <w:t>交货方式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5</w:t>
            </w:r>
          </w:p>
        </w:tc>
        <w:tc>
          <w:tcPr>
            <w:tcW w:w="2976" w:type="dxa"/>
            <w:noWrap w:val="0"/>
            <w:vAlign w:val="center"/>
          </w:tcPr>
          <w:p>
            <w:pPr>
              <w:pStyle w:val="18"/>
              <w:ind w:left="420"/>
              <w:jc w:val="center"/>
              <w:rPr>
                <w:rFonts w:hint="eastAsia" w:hAnsi="宋体"/>
                <w:color w:val="auto"/>
              </w:rPr>
            </w:pPr>
            <w:r>
              <w:rPr>
                <w:rFonts w:hint="eastAsia" w:hAnsi="宋体"/>
                <w:color w:val="auto"/>
              </w:rPr>
              <w:t>付款方式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6</w:t>
            </w:r>
          </w:p>
        </w:tc>
        <w:tc>
          <w:tcPr>
            <w:tcW w:w="2976" w:type="dxa"/>
            <w:noWrap w:val="0"/>
            <w:vAlign w:val="center"/>
          </w:tcPr>
          <w:p>
            <w:pPr>
              <w:pStyle w:val="18"/>
              <w:ind w:left="420"/>
              <w:jc w:val="center"/>
              <w:rPr>
                <w:rFonts w:hint="eastAsia" w:hAnsi="宋体"/>
                <w:color w:val="auto"/>
              </w:rPr>
            </w:pPr>
            <w:r>
              <w:rPr>
                <w:rFonts w:hint="eastAsia" w:hAnsi="宋体"/>
                <w:color w:val="auto"/>
              </w:rPr>
              <w:t>投标货币</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7</w:t>
            </w:r>
          </w:p>
        </w:tc>
        <w:tc>
          <w:tcPr>
            <w:tcW w:w="2976" w:type="dxa"/>
            <w:noWrap w:val="0"/>
            <w:vAlign w:val="center"/>
          </w:tcPr>
          <w:p>
            <w:pPr>
              <w:pStyle w:val="18"/>
              <w:ind w:left="420"/>
              <w:jc w:val="center"/>
              <w:rPr>
                <w:rFonts w:hint="eastAsia" w:hAnsi="宋体"/>
                <w:color w:val="auto"/>
              </w:rPr>
            </w:pPr>
            <w:r>
              <w:rPr>
                <w:rFonts w:hint="eastAsia" w:hAnsi="宋体"/>
                <w:color w:val="auto"/>
              </w:rPr>
              <w:t>备品备件及耗材等要求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8</w:t>
            </w:r>
          </w:p>
        </w:tc>
        <w:tc>
          <w:tcPr>
            <w:tcW w:w="2976" w:type="dxa"/>
            <w:noWrap w:val="0"/>
            <w:vAlign w:val="center"/>
          </w:tcPr>
          <w:p>
            <w:pPr>
              <w:pStyle w:val="18"/>
              <w:ind w:left="420"/>
              <w:jc w:val="center"/>
              <w:rPr>
                <w:rFonts w:hint="eastAsia" w:hAnsi="宋体"/>
                <w:color w:val="auto"/>
              </w:rPr>
            </w:pPr>
            <w:r>
              <w:rPr>
                <w:rFonts w:hint="eastAsia" w:hAnsi="宋体"/>
                <w:color w:val="auto"/>
              </w:rPr>
              <w:t>培训方式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p>
        </w:tc>
        <w:tc>
          <w:tcPr>
            <w:tcW w:w="2976" w:type="dxa"/>
            <w:noWrap w:val="0"/>
            <w:vAlign w:val="center"/>
          </w:tcPr>
          <w:p>
            <w:pPr>
              <w:pStyle w:val="18"/>
              <w:ind w:left="420"/>
              <w:jc w:val="center"/>
              <w:rPr>
                <w:rFonts w:hint="eastAsia" w:hAnsi="宋体"/>
                <w:color w:val="auto"/>
              </w:rPr>
            </w:pP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bl>
    <w:p>
      <w:pPr>
        <w:pStyle w:val="18"/>
        <w:spacing w:line="360" w:lineRule="auto"/>
        <w:ind w:left="420" w:firstLine="2520" w:firstLineChars="1050"/>
        <w:rPr>
          <w:rFonts w:hint="eastAsia" w:hAnsi="宋体"/>
          <w:color w:val="auto"/>
        </w:rPr>
      </w:pPr>
      <w:r>
        <w:rPr>
          <w:rFonts w:hint="eastAsia" w:hAnsi="宋体"/>
          <w:color w:val="auto"/>
        </w:rPr>
        <w:t xml:space="preserve">             法定代表人（授权代表）签字：</w:t>
      </w:r>
      <w:r>
        <w:rPr>
          <w:rFonts w:hint="eastAsia" w:hAnsi="宋体"/>
          <w:color w:val="auto"/>
          <w:u w:val="single"/>
        </w:rPr>
        <w:t xml:space="preserve">             </w:t>
      </w:r>
    </w:p>
    <w:p>
      <w:pPr>
        <w:pStyle w:val="18"/>
        <w:spacing w:line="360" w:lineRule="exact"/>
        <w:ind w:left="420"/>
        <w:rPr>
          <w:rFonts w:hint="eastAsia" w:hAnsi="宋体"/>
          <w:color w:val="auto"/>
        </w:rPr>
      </w:pPr>
      <w:r>
        <w:rPr>
          <w:rFonts w:hint="eastAsia" w:hAnsi="宋体"/>
          <w:color w:val="auto"/>
        </w:rPr>
        <w:t>注：</w:t>
      </w:r>
    </w:p>
    <w:p>
      <w:pPr>
        <w:pStyle w:val="18"/>
        <w:spacing w:line="360" w:lineRule="exact"/>
        <w:ind w:left="420" w:firstLine="480" w:firstLineChars="200"/>
        <w:rPr>
          <w:rFonts w:hint="eastAsia" w:hAnsi="宋体"/>
          <w:color w:val="auto"/>
        </w:rPr>
      </w:pPr>
      <w:r>
        <w:rPr>
          <w:rFonts w:hint="eastAsia" w:hAnsi="宋体"/>
          <w:color w:val="auto"/>
        </w:rPr>
        <w:t>1、此表为表样，行数可自行添加，但表式不变；</w:t>
      </w:r>
    </w:p>
    <w:p>
      <w:pPr>
        <w:pStyle w:val="18"/>
        <w:spacing w:line="360" w:lineRule="exact"/>
        <w:ind w:left="420" w:firstLine="480" w:firstLineChars="200"/>
        <w:rPr>
          <w:rFonts w:hint="eastAsia" w:hAnsi="宋体"/>
          <w:color w:val="auto"/>
        </w:rPr>
      </w:pPr>
      <w:r>
        <w:rPr>
          <w:rFonts w:hint="eastAsia" w:hAnsi="宋体"/>
          <w:color w:val="auto"/>
        </w:rPr>
        <w:t>2、投标单位根据项目添加的服务承诺、培训等也请列出；</w:t>
      </w:r>
    </w:p>
    <w:p>
      <w:pPr>
        <w:pStyle w:val="18"/>
        <w:spacing w:line="360" w:lineRule="exact"/>
        <w:ind w:left="420" w:firstLine="480" w:firstLineChars="200"/>
        <w:rPr>
          <w:rFonts w:hint="eastAsia" w:hAnsi="宋体"/>
          <w:color w:val="auto"/>
        </w:rPr>
      </w:pPr>
      <w:r>
        <w:rPr>
          <w:rFonts w:hint="eastAsia" w:hAnsi="宋体"/>
          <w:color w:val="auto"/>
        </w:rPr>
        <w:t>3、是否偏离用符号“+、=、-”分别表示正偏离、完全响应、负偏离；</w:t>
      </w:r>
    </w:p>
    <w:p>
      <w:pPr>
        <w:pStyle w:val="18"/>
        <w:spacing w:line="360" w:lineRule="exact"/>
        <w:ind w:left="420" w:firstLine="480" w:firstLineChars="200"/>
        <w:rPr>
          <w:rFonts w:hint="eastAsia" w:hAnsi="宋体"/>
          <w:color w:val="auto"/>
        </w:rPr>
      </w:pPr>
      <w:r>
        <w:rPr>
          <w:rFonts w:hint="eastAsia" w:hAnsi="宋体"/>
          <w:color w:val="auto"/>
        </w:rPr>
        <w:t>4、投标单位必须仔细阅读</w:t>
      </w:r>
      <w:r>
        <w:rPr>
          <w:rFonts w:hint="eastAsia" w:hAnsi="宋体"/>
          <w:color w:val="auto"/>
          <w:lang w:eastAsia="zh-CN"/>
        </w:rPr>
        <w:t>采购文件</w:t>
      </w:r>
      <w:r>
        <w:rPr>
          <w:rFonts w:hint="eastAsia" w:hAnsi="宋体"/>
          <w:color w:val="auto"/>
        </w:rPr>
        <w:t>中所有商务条款和相关服务要求，并对所有商务条款和服务要求偏离的条目列入上表。投标单位必须根据所将提供服务的实际情况如实填写，评委会如发现有虚假描述的，该投标文件视为无效。</w:t>
      </w:r>
    </w:p>
    <w:bookmarkEnd w:id="51"/>
    <w:bookmarkEnd w:id="52"/>
    <w:bookmarkEnd w:id="53"/>
    <w:bookmarkEnd w:id="54"/>
    <w:bookmarkEnd w:id="55"/>
    <w:bookmarkEnd w:id="56"/>
    <w:bookmarkEnd w:id="57"/>
    <w:p>
      <w:pPr>
        <w:jc w:val="center"/>
        <w:rPr>
          <w:rFonts w:hint="eastAsia"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hint="eastAsia"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snapToGrid w:val="0"/>
        <w:spacing w:line="420" w:lineRule="exact"/>
        <w:jc w:val="center"/>
        <w:rPr>
          <w:rFonts w:hint="eastAsia"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hint="eastAsia" w:ascii="宋体" w:hAnsi="宋体" w:cs="宋体"/>
          <w:b/>
          <w:sz w:val="32"/>
          <w:szCs w:val="32"/>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hint="eastAsia" w:ascii="宋体" w:hAnsi="宋体" w:cs="宋体"/>
          <w:sz w:val="24"/>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法定代表人签字：</w:t>
      </w:r>
      <w:r>
        <w:rPr>
          <w:rFonts w:hint="eastAsia" w:ascii="宋体" w:hAnsi="宋体" w:cs="宋体"/>
          <w:u w:val="single"/>
        </w:rPr>
        <w:t xml:space="preserve">             </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8" w:name="_Hlt26955041"/>
      <w:bookmarkEnd w:id="58"/>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hint="eastAsia" w:ascii="宋体" w:hAnsi="宋体" w:cs="宋体"/>
          <w:sz w:val="24"/>
          <w:szCs w:val="24"/>
        </w:rPr>
      </w:pPr>
    </w:p>
    <w:p/>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PMingLiU">
    <w:panose1 w:val="02020300000000000000"/>
    <w:charset w:val="88"/>
    <w:family w:val="roman"/>
    <w:pitch w:val="default"/>
    <w:sig w:usb0="00000003" w:usb1="082E0000" w:usb2="00000016" w:usb3="00000000" w:csb0="00100001"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A68JCl&#10;swEAAEgDAAAOAAAAAAAAAAEAIAAAAB8BAABkcnMvZTJvRG9jLnhtbFBLBQYAAAAABgAGAFkBAABE&#10;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b/>
        <w:i/>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5X5J0AAA&#10;AAMBAAAPAAAAAAAAAAEAIAAAACIAAABkcnMvZG93bnJldi54bWxQSwECFAAUAAAACACHTuJASIjm&#10;arQBAABLAwAADgAAAAAAAAABACAAAAAfAQAAZHJzL2Uyb0RvYy54bWxQSwUGAAAAAAYABgBZAQAA&#10;R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b/>
        <w:i/>
        <w:kern w:val="0"/>
        <w:sz w:val="20"/>
      </w:rPr>
      <w:t xml:space="preserve"> </w:t>
    </w:r>
  </w:p>
  <w:p>
    <w:pP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8"/>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81D71"/>
    <w:multiLevelType w:val="multilevel"/>
    <w:tmpl w:val="16381D71"/>
    <w:lvl w:ilvl="0" w:tentative="0">
      <w:start w:val="1"/>
      <w:numFmt w:val="japaneseCounting"/>
      <w:lvlText w:val="%1、"/>
      <w:lvlJc w:val="left"/>
      <w:pPr>
        <w:tabs>
          <w:tab w:val="left" w:pos="360"/>
        </w:tabs>
        <w:ind w:left="360" w:hanging="360"/>
      </w:pPr>
      <w:rPr>
        <w:rFonts w:hint="default"/>
        <w:b/>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12F1820"/>
    <w:multiLevelType w:val="multilevel"/>
    <w:tmpl w:val="312F1820"/>
    <w:lvl w:ilvl="0" w:tentative="0">
      <w:start w:val="0"/>
      <w:numFmt w:val="bullet"/>
      <w:lvlText w:val="★"/>
      <w:lvlJc w:val="left"/>
      <w:pPr>
        <w:tabs>
          <w:tab w:val="left" w:pos="360"/>
        </w:tabs>
        <w:ind w:left="360" w:hanging="360"/>
      </w:pPr>
      <w:rPr>
        <w:rFonts w:hint="eastAsia" w:ascii="宋体" w:hAnsi="宋体" w:eastAsia="宋体" w:cs="Aria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92A519D"/>
    <w:multiLevelType w:val="multilevel"/>
    <w:tmpl w:val="392A519D"/>
    <w:lvl w:ilvl="0" w:tentative="0">
      <w:start w:val="4"/>
      <w:numFmt w:val="decimal"/>
      <w:lvlText w:val="%1"/>
      <w:lvlJc w:val="left"/>
      <w:pPr>
        <w:tabs>
          <w:tab w:val="left" w:pos="360"/>
        </w:tabs>
        <w:ind w:left="360" w:hanging="360"/>
      </w:pPr>
      <w:rPr>
        <w:rFonts w:hint="eastAsia"/>
      </w:rPr>
    </w:lvl>
    <w:lvl w:ilvl="1" w:tentative="0">
      <w:start w:val="1"/>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3">
    <w:nsid w:val="503F4422"/>
    <w:multiLevelType w:val="multilevel"/>
    <w:tmpl w:val="503F4422"/>
    <w:lvl w:ilvl="0" w:tentative="0">
      <w:start w:val="3"/>
      <w:numFmt w:val="decimal"/>
      <w:lvlText w:val="%1"/>
      <w:lvlJc w:val="left"/>
      <w:pPr>
        <w:tabs>
          <w:tab w:val="left" w:pos="360"/>
        </w:tabs>
        <w:ind w:left="360" w:hanging="360"/>
      </w:pPr>
      <w:rPr>
        <w:rFonts w:hint="eastAsia"/>
      </w:rPr>
    </w:lvl>
    <w:lvl w:ilvl="1" w:tentative="0">
      <w:start w:val="2"/>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4">
    <w:nsid w:val="529C6A32"/>
    <w:multiLevelType w:val="multilevel"/>
    <w:tmpl w:val="529C6A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DDFE60"/>
    <w:multiLevelType w:val="singleLevel"/>
    <w:tmpl w:val="58DDFE60"/>
    <w:lvl w:ilvl="0" w:tentative="0">
      <w:start w:val="1"/>
      <w:numFmt w:val="chineseCounting"/>
      <w:suff w:val="nothing"/>
      <w:lvlText w:val="%1、"/>
      <w:lvlJc w:val="left"/>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6"/>
  </w:num>
  <w:num w:numId="2">
    <w:abstractNumId w:val="5"/>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804FD"/>
    <w:rsid w:val="0417416B"/>
    <w:rsid w:val="149D4767"/>
    <w:rsid w:val="28E804FD"/>
    <w:rsid w:val="2B9E493B"/>
    <w:rsid w:val="2D8C5899"/>
    <w:rsid w:val="2F313A02"/>
    <w:rsid w:val="35467EF4"/>
    <w:rsid w:val="3DED6081"/>
    <w:rsid w:val="40A82832"/>
    <w:rsid w:val="4C940E7B"/>
    <w:rsid w:val="58C57AF2"/>
    <w:rsid w:val="650117A0"/>
    <w:rsid w:val="6FF05E4C"/>
    <w:rsid w:val="75344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宋体"/>
      <w:sz w:val="28"/>
    </w:rPr>
  </w:style>
  <w:style w:type="paragraph" w:styleId="5">
    <w:name w:val="Normal Indent"/>
    <w:basedOn w:val="1"/>
    <w:qFormat/>
    <w:uiPriority w:val="0"/>
    <w:pPr>
      <w:ind w:firstLine="420"/>
    </w:pPr>
  </w:style>
  <w:style w:type="paragraph" w:styleId="7">
    <w:name w:val="Plain Text"/>
    <w:basedOn w:val="1"/>
    <w:qFormat/>
    <w:uiPriority w:val="0"/>
    <w:rPr>
      <w:rFonts w:ascii="宋体" w:hAnsi="Courier New" w:cs="Courier New"/>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5">
    <w:name w:val="列出段落1"/>
    <w:basedOn w:val="1"/>
    <w:qFormat/>
    <w:uiPriority w:val="0"/>
    <w:pPr>
      <w:ind w:leftChars="200"/>
      <w:jc w:val="left"/>
    </w:pPr>
    <w:rPr>
      <w:rFonts w:ascii="Calibri" w:hAnsi="Calibri" w:eastAsia="PMingLiU" w:cs="宋体"/>
      <w:sz w:val="24"/>
      <w:szCs w:val="22"/>
      <w:lang w:eastAsia="zh-TW"/>
    </w:rPr>
  </w:style>
  <w:style w:type="paragraph" w:customStyle="1" w:styleId="16">
    <w:name w:val="pa-0"/>
    <w:basedOn w:val="1"/>
    <w:qFormat/>
    <w:uiPriority w:val="0"/>
    <w:pPr>
      <w:widowControl/>
      <w:spacing w:before="150" w:after="150"/>
      <w:jc w:val="left"/>
    </w:pPr>
    <w:rPr>
      <w:rFonts w:ascii="宋体" w:hAnsi="宋体" w:cs="宋体"/>
      <w:kern w:val="0"/>
      <w:sz w:val="24"/>
      <w:szCs w:val="24"/>
    </w:rPr>
  </w:style>
  <w:style w:type="paragraph" w:customStyle="1" w:styleId="17">
    <w:name w:val="Char"/>
    <w:basedOn w:val="1"/>
    <w:uiPriority w:val="0"/>
    <w:pPr>
      <w:tabs>
        <w:tab w:val="left" w:pos="360"/>
      </w:tabs>
    </w:pPr>
    <w:rPr>
      <w:sz w:val="24"/>
      <w:szCs w:val="24"/>
    </w:rPr>
  </w:style>
  <w:style w:type="paragraph" w:customStyle="1" w:styleId="18">
    <w:name w:val="Defaul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列表段落"/>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2020-07-20T01:26:00Z</dcterms:created>
  <dc:creator>Administrator</dc:creator>
  <cp:lastModifiedBy>Administrator</cp:lastModifiedBy>
  <dcterms:modified xsi:type="dcterms:W3CDTF">2020-09-04T01:44:58Z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